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75" w:lineRule="exact"/>
        <w:rPr>
          <w:sz w:val="24"/>
          <w:szCs w:val="24"/>
          <w:color w:val="auto"/>
        </w:rPr>
      </w:pPr>
    </w:p>
    <w:p>
      <w:pPr>
        <w:ind w:left="1260"/>
        <w:spacing w:after="0" w:line="207" w:lineRule="exact"/>
        <w:tabs>
          <w:tab w:leader="none" w:pos="47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ind w:left="1260"/>
        <w:spacing w:after="0" w:line="207" w:lineRule="exact"/>
        <w:tabs>
          <w:tab w:leader="none" w:pos="47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1260" w:right="2119"/>
        <w:spacing w:after="0" w:line="281"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6"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272415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1" w:lineRule="exact"/>
        <w:rPr>
          <w:rFonts w:ascii="Arial" w:cs="Arial" w:eastAsia="Arial" w:hAnsi="Arial"/>
          <w:sz w:val="17"/>
          <w:szCs w:val="17"/>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620" w:right="499" w:hanging="360"/>
        <w:spacing w:after="0" w:line="263"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-3336290</wp:posOffset>
            </wp:positionV>
            <wp:extent cx="4757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-2941955</wp:posOffset>
            </wp:positionV>
            <wp:extent cx="4757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-2410460</wp:posOffset>
            </wp:positionV>
            <wp:extent cx="4757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-2016125</wp:posOffset>
            </wp:positionV>
            <wp:extent cx="475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-1621790</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-610235</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-215900</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177800</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200" w:lineRule="exact"/>
        <w:rPr>
          <w:sz w:val="24"/>
          <w:szCs w:val="24"/>
          <w:color w:val="auto"/>
        </w:rPr>
      </w:pPr>
    </w:p>
    <w:p>
      <w:pPr>
        <w:spacing w:after="0" w:line="214" w:lineRule="exact"/>
        <w:rPr>
          <w:sz w:val="24"/>
          <w:szCs w:val="24"/>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177800</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422275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2915 Commers Drive, Suite 900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Telephone: (651) 389-4800</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August 10, 2021</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You are cordially invited to attend the Special Meeting of Stockholders (the “Special Meeting”) of Predictive Oncology Inc. (the “Company”) on August 10, 2021, at 3:00 PM (Central Time) at the offices of the Company’s counsel, Maslon LLP, 3300 Wells Fargo Center, 90 South Seventh Street, Minneapolis, MN</w:t>
      </w:r>
    </w:p>
    <w:p>
      <w:pPr>
        <w:ind w:left="1260"/>
        <w:spacing w:after="0"/>
        <w:rPr>
          <w:sz w:val="20"/>
          <w:szCs w:val="20"/>
          <w:color w:val="auto"/>
        </w:rPr>
      </w:pPr>
      <w:r>
        <w:rPr>
          <w:rFonts w:ascii="Arial" w:cs="Arial" w:eastAsia="Arial" w:hAnsi="Arial"/>
          <w:sz w:val="18"/>
          <w:szCs w:val="18"/>
          <w:color w:val="auto"/>
        </w:rPr>
        <w:t>55402 for the following purposes:</w:t>
      </w:r>
    </w:p>
    <w:p>
      <w:pPr>
        <w:spacing w:after="0" w:line="143" w:lineRule="exact"/>
        <w:rPr>
          <w:sz w:val="20"/>
          <w:szCs w:val="20"/>
          <w:color w:val="auto"/>
        </w:rPr>
      </w:pPr>
    </w:p>
    <w:p>
      <w:pPr>
        <w:ind w:left="1980" w:right="47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certificate of incorporation to increase the number of authorized shares of Company common stock from 100,000,000, to 200,000,000 (the “Charter Proposal”);</w:t>
      </w:r>
    </w:p>
    <w:p>
      <w:pPr>
        <w:spacing w:after="0" w:line="102"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2012 Stock Incentive Plan (the “Amended and Restated Plan”) to increase the reserve of shares of common stock authorized for issuance thereunder by 1,500,000, to 3,250,000 (the “Plan Proposal”);</w:t>
      </w:r>
    </w:p>
    <w:p>
      <w:pPr>
        <w:spacing w:after="0" w:line="116" w:lineRule="exact"/>
        <w:rPr>
          <w:rFonts w:ascii="Arial" w:cs="Arial" w:eastAsia="Arial" w:hAnsi="Arial"/>
          <w:sz w:val="18"/>
          <w:szCs w:val="18"/>
          <w:color w:val="auto"/>
        </w:rPr>
      </w:pPr>
    </w:p>
    <w:p>
      <w:pPr>
        <w:ind w:left="1980" w:right="41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pursuant to Nasdaq Listing Rule 5635(d), the issuance of additional shares of common stock of the Company pursuant to a previously approved equity line of credit arrangement (the “Equity Line Proposal”);</w:t>
      </w:r>
    </w:p>
    <w:p>
      <w:pPr>
        <w:spacing w:after="0" w:line="116" w:lineRule="exact"/>
        <w:rPr>
          <w:rFonts w:ascii="Arial" w:cs="Arial" w:eastAsia="Arial" w:hAnsi="Arial"/>
          <w:sz w:val="18"/>
          <w:szCs w:val="18"/>
          <w:color w:val="auto"/>
        </w:rPr>
      </w:pPr>
    </w:p>
    <w:p>
      <w:pPr>
        <w:jc w:val="both"/>
        <w:ind w:left="1980" w:right="81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Baker Tilly Virchow Krause, LLP as the Company’s independent registered public accounting firm for the fiscal year ending December 31, 2021 (the “Auditor Proposal”); and</w:t>
      </w:r>
    </w:p>
    <w:p>
      <w:pPr>
        <w:spacing w:after="0" w:line="102" w:lineRule="exact"/>
        <w:rPr>
          <w:rFonts w:ascii="Arial" w:cs="Arial" w:eastAsia="Arial" w:hAnsi="Arial"/>
          <w:sz w:val="18"/>
          <w:szCs w:val="18"/>
          <w:color w:val="auto"/>
        </w:rPr>
      </w:pPr>
    </w:p>
    <w:p>
      <w:pPr>
        <w:ind w:left="1980" w:right="439" w:hanging="360"/>
        <w:spacing w:after="0" w:line="259"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proposal to adjourn the Special Meeting, if necessary, to solicit additional proxies for approval of the Charter Proposal, the Plan Proposal, the Equity Line Proposal and/or the Auditor Proposal, as applicable, in the event that there are not sufficient votes at the time of the Special Meeting to approve any such proposal.</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These items of business are more fully described in the proxy statement accompanying this Notice.</w:t>
      </w:r>
    </w:p>
    <w:p>
      <w:pPr>
        <w:spacing w:after="0" w:line="165"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7"/>
          <w:szCs w:val="17"/>
          <w:b w:val="1"/>
          <w:bCs w:val="1"/>
          <w:color w:val="auto"/>
        </w:rPr>
        <w:t>For key information to consider before you vote, please see “QUESTIONS AND ANSWERS ABOUT THESE PROXY MATERIALS AND VOTING” beginning on page 1 of this proxy statement.</w:t>
      </w:r>
    </w:p>
    <w:p>
      <w:pPr>
        <w:spacing w:after="0" w:line="63"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The record date for the Special Meeting is June 16, 2021. Only stockholders of record at the close of business on that date are entitled to vote at the meeting or any adjournment thereof, or by proxy.</w:t>
      </w:r>
    </w:p>
    <w:p>
      <w:pPr>
        <w:spacing w:after="0" w:line="14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J. Melville Engle</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 Melville Engle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Chief Executive Officer</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Eagan, Minnesota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1193165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39" w:firstLine="360"/>
        <w:spacing w:after="0" w:line="314" w:lineRule="auto"/>
        <w:rPr>
          <w:sz w:val="20"/>
          <w:szCs w:val="20"/>
          <w:color w:val="auto"/>
        </w:rPr>
      </w:pPr>
      <w:r>
        <w:rPr>
          <w:rFonts w:ascii="Arial" w:cs="Arial" w:eastAsia="Arial" w:hAnsi="Arial"/>
          <w:sz w:val="15"/>
          <w:szCs w:val="15"/>
          <w:b w:val="1"/>
          <w:bCs w:val="1"/>
          <w:color w:val="auto"/>
        </w:rPr>
        <w:t>You are cordially invited to attend the meeting in person. Whether or not you expect to attend the meeting, please vote your shares. You may submit your proxy card or voting instruction card by completing, signing, dating and mailing your proxy card or voting instruction card in the envelope provided or vote by facsimile, email or over the Internet as instructed in the proxy statement. Any stockholder attending the meeting may vote in person, even if you already returned a proxy card or voting instruction card and intend to change your original vote. Please note, however, that if your shares are held of record by a broker, bank or other nominee and you wish to vote at the meeting, you must obtain a legal proxy issued in your name from that record holder.</w:t>
      </w:r>
    </w:p>
    <w:p>
      <w:pPr>
        <w:spacing w:after="0" w:line="14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STOCKHOLDER MEETING TO BE HELD ON AUGUST 10, 2021:</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The Proxy Statement is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available at https://investors.predictive-oncology.com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6353810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6700" w:type="dxa"/>
            <w:vAlign w:val="bottom"/>
            <w:gridSpan w:val="8"/>
            <w:shd w:val="clear" w:color="auto" w:fill="CCEEFF"/>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QUESTIONS AND ANSWERS ABOUT THESE PROXY MATERIALS AND VOTING</w:t>
              </w:r>
            </w:hyperlink>
          </w:p>
        </w:tc>
        <w:tc>
          <w:tcPr>
            <w:tcW w:w="660" w:type="dxa"/>
            <w:vAlign w:val="bottom"/>
            <w:gridSpan w:val="7"/>
            <w:shd w:val="clear" w:color="auto" w:fill="CCEEFF"/>
          </w:tcPr>
          <w:p>
            <w:pPr>
              <w:spacing w:after="0"/>
              <w:rPr>
                <w:sz w:val="22"/>
                <w:szCs w:val="22"/>
                <w:color w:val="auto"/>
              </w:rPr>
            </w:pPr>
          </w:p>
        </w:tc>
        <w:tc>
          <w:tcPr>
            <w:tcW w:w="840" w:type="dxa"/>
            <w:vAlign w:val="bottom"/>
            <w:gridSpan w:val="5"/>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311"/>
        </w:trPr>
        <w:tc>
          <w:tcPr>
            <w:tcW w:w="722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PROPOSAL 1: TO APPROVE AN AMENDMENT TO THE COMPANY’S CERTIFICATE OF</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INCORPORATION TO INCREASE THE NUMBER OF AUTHORIZED SHARES OF</w:t>
              </w:r>
            </w:hyperlink>
          </w:p>
        </w:tc>
        <w:tc>
          <w:tcPr>
            <w:tcW w:w="6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8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COMPANY COMMON STOCK FROM 100,000,000, TO 200,000,000</w:t>
              </w:r>
            </w:hyperlink>
          </w:p>
        </w:tc>
        <w:tc>
          <w:tcPr>
            <w:tcW w:w="840" w:type="dxa"/>
            <w:vAlign w:val="bottom"/>
            <w:gridSpan w:val="5"/>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34"/>
        </w:trPr>
        <w:tc>
          <w:tcPr>
            <w:tcW w:w="18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310"/>
        </w:trPr>
        <w:tc>
          <w:tcPr>
            <w:tcW w:w="7200" w:type="dxa"/>
            <w:vAlign w:val="bottom"/>
            <w:tcBorders>
              <w:bottom w:val="single" w:sz="8" w:color="0000EE"/>
            </w:tcBorders>
            <w:gridSpan w:val="13"/>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2: TO APPROVE AN AMENDMENT TO THE COMPANY’S AMENDED AND</w:t>
              </w:r>
            </w:hyperlink>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RESTATED 2012 STOCK INCENTIVE PLAN TO INCREASE THE RESERVE OF SHARES</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OF COMMON STOCK AUTHORIZED FOR ISSUANCE THEREUNDER BY 1,500,000, TO</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3,250,000</w:t>
              </w:r>
            </w:hyperlink>
          </w:p>
        </w:tc>
        <w:tc>
          <w:tcPr>
            <w:tcW w:w="6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310"/>
        </w:trPr>
        <w:tc>
          <w:tcPr>
            <w:tcW w:w="736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PROPOSAL 3: APPROVAL, PURSUANT TO NASDAQ LISTING RULE 5635(d), OF THE</w:t>
              </w:r>
            </w:hyperlink>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ISSUANCE OF COMMON STOCK PURSUANT TO AN EQUITY LINE OF CREDIT</w:t>
              </w:r>
            </w:hyperlink>
          </w:p>
        </w:tc>
        <w:tc>
          <w:tcPr>
            <w:tcW w:w="24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8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ARRANGEMENT</w:t>
              </w:r>
            </w:hyperlink>
          </w:p>
        </w:tc>
        <w:tc>
          <w:tcPr>
            <w:tcW w:w="840" w:type="dxa"/>
            <w:vAlign w:val="bottom"/>
            <w:gridSpan w:val="5"/>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34"/>
        </w:trPr>
        <w:tc>
          <w:tcPr>
            <w:tcW w:w="18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345"/>
        </w:trPr>
        <w:tc>
          <w:tcPr>
            <w:tcW w:w="7360" w:type="dxa"/>
            <w:vAlign w:val="bottom"/>
            <w:gridSpan w:val="15"/>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PROPOSAL 4: RATIFICATION OF SELECTION OF INDEPENDENT AUDITORS</w:t>
              </w:r>
            </w:hyperlink>
          </w:p>
        </w:tc>
        <w:tc>
          <w:tcPr>
            <w:tcW w:w="840" w:type="dxa"/>
            <w:vAlign w:val="bottom"/>
            <w:gridSpan w:val="5"/>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324"/>
        </w:trPr>
        <w:tc>
          <w:tcPr>
            <w:tcW w:w="6400" w:type="dxa"/>
            <w:vAlign w:val="bottom"/>
            <w:tcBorders>
              <w:top w:val="single" w:sz="8" w:color="0000EE"/>
            </w:tcBorders>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5: APPROVAL OF ADJOURNMENT</w:t>
              </w:r>
            </w:hyperlink>
          </w:p>
        </w:tc>
        <w:tc>
          <w:tcPr>
            <w:tcW w:w="960" w:type="dxa"/>
            <w:vAlign w:val="bottom"/>
            <w:tcBorders>
              <w:top w:val="single" w:sz="8" w:color="CCEEFF"/>
            </w:tcBorders>
            <w:gridSpan w:val="8"/>
          </w:tcPr>
          <w:p>
            <w:pPr>
              <w:spacing w:after="0"/>
              <w:rPr>
                <w:sz w:val="24"/>
                <w:szCs w:val="24"/>
                <w:color w:val="auto"/>
              </w:rPr>
            </w:pPr>
          </w:p>
        </w:tc>
        <w:tc>
          <w:tcPr>
            <w:tcW w:w="660" w:type="dxa"/>
            <w:vAlign w:val="bottom"/>
            <w:tcBorders>
              <w:top w:val="single" w:sz="8" w:color="CCEEFF"/>
            </w:tcBorders>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364"/>
        </w:trPr>
        <w:tc>
          <w:tcPr>
            <w:tcW w:w="73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11"/>
        </w:trPr>
        <w:tc>
          <w:tcPr>
            <w:tcW w:w="698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APPENDIX A: FORM OF CERTIFICATE OF AMENDMENT TO OUR CERTIFICATE OF</w:t>
              </w:r>
            </w:hyperlink>
          </w:p>
        </w:tc>
        <w:tc>
          <w:tcPr>
            <w:tcW w:w="3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INCORPORATION TO INCREASE THE NUMBER OF AUTHORIZED SHARES OF</w:t>
              </w:r>
            </w:hyperlink>
          </w:p>
        </w:tc>
        <w:tc>
          <w:tcPr>
            <w:tcW w:w="6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8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COMPANY COMMON STOCK FROM 100,000,000, TO 200,000,000</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3"/>
          </w:tcPr>
          <w:p>
            <w:pPr>
              <w:jc w:val="right"/>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A-1</w:t>
              </w:r>
            </w:hyperlink>
          </w:p>
        </w:tc>
      </w:tr>
      <w:tr>
        <w:trPr>
          <w:trHeight w:val="34"/>
        </w:trPr>
        <w:tc>
          <w:tcPr>
            <w:tcW w:w="18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311"/>
        </w:trPr>
        <w:tc>
          <w:tcPr>
            <w:tcW w:w="736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APPENDIX B: FORM OF AMENDED AND RESTATED 2012 STOCK INCENTIVE PLAN AS</w:t>
              </w:r>
            </w:hyperlink>
          </w:p>
        </w:tc>
        <w:tc>
          <w:tcPr>
            <w:tcW w:w="20" w:type="dxa"/>
            <w:vAlign w:val="bottom"/>
            <w:tcBorders>
              <w:bottom w:val="single" w:sz="8" w:color="0000EE"/>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4"/>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IF PROPOSAL NO. 2 WERE APPROVED</w:t>
              </w:r>
            </w:hyperlink>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B-1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PREDICTIVE ONCOLOGY INC.</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2915 Commers Drive, Suite 900</w:t>
      </w:r>
    </w:p>
    <w:p>
      <w:pPr>
        <w:spacing w:after="0" w:line="1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Eagan, Minnesota 55121</w:t>
      </w:r>
    </w:p>
    <w:p>
      <w:pPr>
        <w:ind w:left="4400"/>
        <w:spacing w:after="0"/>
        <w:rPr>
          <w:sz w:val="20"/>
          <w:szCs w:val="20"/>
          <w:color w:val="auto"/>
        </w:rPr>
      </w:pPr>
      <w:r>
        <w:rPr>
          <w:rFonts w:ascii="Arial" w:cs="Arial" w:eastAsia="Arial" w:hAnsi="Arial"/>
          <w:sz w:val="18"/>
          <w:szCs w:val="18"/>
          <w:b w:val="1"/>
          <w:bCs w:val="1"/>
          <w:color w:val="auto"/>
        </w:rPr>
        <w:t>Telephone: (651) 389-4800</w:t>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1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 THE SPECIAL MEETING OF STOCKHOLDERS</w:t>
      </w:r>
    </w:p>
    <w:p>
      <w:pPr>
        <w:jc w:val="center"/>
        <w:ind w:right="-840"/>
        <w:spacing w:after="0"/>
        <w:rPr>
          <w:sz w:val="20"/>
          <w:szCs w:val="20"/>
          <w:color w:val="auto"/>
        </w:rPr>
      </w:pPr>
      <w:r>
        <w:rPr>
          <w:rFonts w:ascii="Arial" w:cs="Arial" w:eastAsia="Arial" w:hAnsi="Arial"/>
          <w:sz w:val="18"/>
          <w:szCs w:val="18"/>
          <w:b w:val="1"/>
          <w:bCs w:val="1"/>
          <w:color w:val="auto"/>
        </w:rPr>
        <w:t>TO BE HELD ON AUGUST 10, 2021</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am I receiving these materials?</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We have sent you this proxy statement and the enclosed proxy card because the Board of Directors (the “Board of Directors” or the “Board”) of Predictive Oncology Inc. (the “Company” or “Predictive”) is soliciting your proxy to vote at the Special Meeting of Stockholders (the “Special Meeting”) to be held at the offices of the Company’s counsel, Maslon LLP on August 10, 2021, at 3:00 PM (Central Time), including any adjournments or postponements of the Special Meeting. You are invited to attend the Special Meeting to vote on the proposals described in this proxy statement. However, you do not need to attend the meeting to vote your shares. Instead, you may simply complete, sign and return the enclosed proxy card, or follow the instructions below to submit your proxy by facsimile, email or on the Internet.</w:t>
      </w:r>
    </w:p>
    <w:p>
      <w:pPr>
        <w:spacing w:after="0" w:line="111"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Company intends to mail this proxy statement and accompanying proxy card on or about July 7, 2021, to all stockholders of record entitled to vote at the Special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 I allowed to attend the Special Meeting in person?</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Stockholders may attend the Special Meeting in person. Any stockholder who desires to attend in person is kindly asked to provide advance written notice to bmyers@predictive-oncology.com. If you would like directions to the offices of the Company’s counsel, Maslon LLP, please call please call (651) 389-4800.</w:t>
      </w:r>
    </w:p>
    <w:p>
      <w:pPr>
        <w:ind w:left="1260" w:right="539"/>
        <w:spacing w:after="0" w:line="260" w:lineRule="auto"/>
        <w:rPr>
          <w:sz w:val="20"/>
          <w:szCs w:val="20"/>
          <w:color w:val="auto"/>
        </w:rPr>
      </w:pPr>
      <w:r>
        <w:rPr>
          <w:rFonts w:ascii="Arial" w:cs="Arial" w:eastAsia="Arial" w:hAnsi="Arial"/>
          <w:sz w:val="18"/>
          <w:szCs w:val="18"/>
          <w:b w:val="1"/>
          <w:bCs w:val="1"/>
          <w:u w:val="single" w:color="auto"/>
          <w:color w:val="auto"/>
        </w:rPr>
        <w:t>Please note that any stockholder who attends the Special Meeting in person will be required to wear a mask, in light of the ongoing COVID-19 pandemic and vaccination efforts.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 at the Special Meeting?</w:t>
      </w:r>
    </w:p>
    <w:p>
      <w:pPr>
        <w:spacing w:after="0" w:line="14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Only stockholders of record at the close of business on June 16, 2021 will be entitled to vote at the Special Meeting. On the record date, there were 65,339,695 shares of common stock outstanding and entitled to vote.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58"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If, on June 16, 2021, your shares were registered directly in your name with the Company’s transfer agent, Equiniti, then you are a stockholder of record. As a stockholder of record, you may vote at the meeting or vote by proxy. Whether or not you plan to attend the meeting, we urge you to vote your shares by completing, signing, dating and mailing your proxy card in the envelope provided or vote by proxy via facsimile, email or on the Internet as instructed below to ensure your vote is counted.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If, on June 16, 2021,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at the meeting unless you request and obtain a valid legal proxy from your broker or other agent.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am I voting 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five (5) matters scheduled for a vote:</w:t>
      </w:r>
    </w:p>
    <w:p>
      <w:pPr>
        <w:spacing w:after="0" w:line="154" w:lineRule="exact"/>
        <w:rPr>
          <w:sz w:val="20"/>
          <w:szCs w:val="20"/>
          <w:color w:val="auto"/>
        </w:rPr>
      </w:pPr>
    </w:p>
    <w:p>
      <w:pPr>
        <w:ind w:left="1260" w:right="479" w:firstLine="360"/>
        <w:spacing w:after="0" w:line="312" w:lineRule="auto"/>
        <w:rPr>
          <w:sz w:val="20"/>
          <w:szCs w:val="20"/>
          <w:color w:val="auto"/>
        </w:rPr>
      </w:pPr>
      <w:r>
        <w:rPr>
          <w:rFonts w:ascii="Arial" w:cs="Arial" w:eastAsia="Arial" w:hAnsi="Arial"/>
          <w:sz w:val="17"/>
          <w:szCs w:val="17"/>
          <w:b w:val="1"/>
          <w:bCs w:val="1"/>
          <w:u w:val="single" w:color="auto"/>
          <w:color w:val="auto"/>
        </w:rPr>
        <w:t>Proposal 1</w:t>
      </w:r>
      <w:r>
        <w:rPr>
          <w:rFonts w:ascii="Arial" w:cs="Arial" w:eastAsia="Arial" w:hAnsi="Arial"/>
          <w:sz w:val="17"/>
          <w:szCs w:val="17"/>
          <w:color w:val="auto"/>
        </w:rPr>
        <w:t>: To approve an amendment to the Company’s certificate of incorporation to increase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authorized shares of Common Stock from 100,000,000, to 200,000,000 (the “Charter Proposal”).</w:t>
      </w:r>
    </w:p>
    <w:p>
      <w:pPr>
        <w:spacing w:after="0" w:line="72" w:lineRule="exact"/>
        <w:rPr>
          <w:sz w:val="20"/>
          <w:szCs w:val="20"/>
          <w:color w:val="auto"/>
        </w:rPr>
      </w:pPr>
    </w:p>
    <w:p>
      <w:pPr>
        <w:jc w:val="both"/>
        <w:ind w:left="1260" w:right="599" w:firstLine="360"/>
        <w:spacing w:after="0" w:line="266" w:lineRule="auto"/>
        <w:rPr>
          <w:sz w:val="20"/>
          <w:szCs w:val="20"/>
          <w:color w:val="auto"/>
        </w:rPr>
      </w:pPr>
      <w:r>
        <w:rPr>
          <w:rFonts w:ascii="Arial" w:cs="Arial" w:eastAsia="Arial" w:hAnsi="Arial"/>
          <w:sz w:val="18"/>
          <w:szCs w:val="18"/>
          <w:b w:val="1"/>
          <w:bCs w:val="1"/>
          <w:u w:val="single" w:color="auto"/>
          <w:color w:val="auto"/>
        </w:rPr>
        <w:t>Proposal 2</w:t>
      </w:r>
      <w:r>
        <w:rPr>
          <w:rFonts w:ascii="Arial" w:cs="Arial" w:eastAsia="Arial" w:hAnsi="Arial"/>
          <w:sz w:val="18"/>
          <w:szCs w:val="18"/>
          <w:color w:val="auto"/>
        </w:rPr>
        <w:t>: To approve an amendment to the Amended and Restated 2012 Stock Incentive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Plan”) to increase the reserve of shares of common stock authorized for issuance thereunder by 1,500,000, to 3,250,000 (the “Plan Proposal”).</w:t>
      </w:r>
    </w:p>
    <w:p>
      <w:pPr>
        <w:spacing w:after="0" w:line="95"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8"/>
          <w:szCs w:val="18"/>
          <w:b w:val="1"/>
          <w:bCs w:val="1"/>
          <w:u w:val="single" w:color="auto"/>
          <w:color w:val="auto"/>
        </w:rPr>
        <w:t>Proposal 3</w:t>
      </w:r>
      <w:r>
        <w:rPr>
          <w:rFonts w:ascii="Arial" w:cs="Arial" w:eastAsia="Arial" w:hAnsi="Arial"/>
          <w:sz w:val="18"/>
          <w:szCs w:val="18"/>
          <w:color w:val="auto"/>
        </w:rPr>
        <w:t>: To approve, pursuant to Nasdaq Listing Rule 5635(d), the issuance of additional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the Company pursuant to a previously approved equity line of credit arrangement (the “Equity Line Proposal”).</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Arial" w:cs="Arial" w:eastAsia="Arial" w:hAnsi="Arial"/>
          <w:sz w:val="18"/>
          <w:szCs w:val="18"/>
          <w:b w:val="1"/>
          <w:bCs w:val="1"/>
          <w:u w:val="single" w:color="auto"/>
          <w:color w:val="auto"/>
        </w:rPr>
        <w:t>Proposal 4</w:t>
      </w:r>
      <w:r>
        <w:rPr>
          <w:rFonts w:ascii="Arial" w:cs="Arial" w:eastAsia="Arial" w:hAnsi="Arial"/>
          <w:sz w:val="18"/>
          <w:szCs w:val="18"/>
          <w:color w:val="auto"/>
        </w:rPr>
        <w:t>: To ratify the appointment of Baker Tilly Virchow Krause, LLP as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for the fiscal year ending December 31, 2021 (the “Auditor Proposal”).</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b w:val="1"/>
          <w:bCs w:val="1"/>
          <w:u w:val="single" w:color="auto"/>
          <w:color w:val="auto"/>
        </w:rPr>
        <w:t>Proposal 5</w:t>
      </w:r>
      <w:r>
        <w:rPr>
          <w:rFonts w:ascii="Arial" w:cs="Arial" w:eastAsia="Arial" w:hAnsi="Arial"/>
          <w:sz w:val="18"/>
          <w:szCs w:val="18"/>
          <w:color w:val="auto"/>
        </w:rPr>
        <w:t>: To approve a proposal to adjourn the Special Meeting, if necessary, to solicit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for approval of the Charter Proposal, the Plan Proposal, the Equity Line Proposal and/or the Auditor Proposal, as applicable, in the event that there are not sufficient votes at the time of the Special Meeting to approve any such proposal.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Proposals 1, 2, 3, 4 and 5, you may vote “FOR” or “AGAINST” or abstain from voting.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If you are a stockholder of record, you may vote at the Special Meeting, vote by proxy using the enclosed proxy card, vote by proxy via facsimile, email or on the Internet. Whether or not you plan to attend the meeting, we urge you to vote by proxy to ensure your vote is counted. You may still attend the meeting and vote your shares even if you have already voted by proxy.</w:t>
      </w:r>
    </w:p>
    <w:p>
      <w:pPr>
        <w:spacing w:after="0" w:line="79" w:lineRule="exact"/>
        <w:rPr>
          <w:sz w:val="20"/>
          <w:szCs w:val="20"/>
          <w:color w:val="auto"/>
        </w:rPr>
      </w:pPr>
    </w:p>
    <w:p>
      <w:pPr>
        <w:ind w:left="1800" w:right="65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75"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by email, complete, sign and date the enclosed proxy card and scan and email it to Chad.Dalton@equiniti.com. Your vote must be received by 4:00 PM Eastern Time (3:00 PM Central Standard Time) on August 9, 2021, to be counted.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by internet, please follow the instructions on your proxy card.</w:t>
      </w:r>
    </w:p>
    <w:p>
      <w:pPr>
        <w:spacing w:after="0" w:line="117"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by facsimile, complete, sign and date the enclosed proxy card and fax it to (303) 282-5800. Your vote must be received by 4:00 PM Eastern Time (3:00 PM Central Standard Time) on August 9, 2021, to be counted.</w:t>
      </w:r>
    </w:p>
    <w:p>
      <w:pPr>
        <w:spacing w:after="0" w:line="75" w:lineRule="exact"/>
        <w:rPr>
          <w:rFonts w:ascii="Arial" w:cs="Arial" w:eastAsia="Arial" w:hAnsi="Arial"/>
          <w:sz w:val="18"/>
          <w:szCs w:val="18"/>
          <w:color w:val="auto"/>
        </w:rPr>
      </w:pPr>
    </w:p>
    <w:p>
      <w:pPr>
        <w:ind w:left="1800" w:right="439" w:hanging="180"/>
        <w:spacing w:after="0" w:line="25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in person, come to the Special Meeting, and we will give you a ballot when you arrive. Any stockholder who desires to attend in person is kindly asked to provide advance written notice to bmyers@predictive-oncology.com. Please note that any stockholder who attends the Special Meeting in person will be required to wear a mask, in light of the ongoing COVID-19 pandemic and vaccination efforts.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Internet Voting</w:t>
      </w:r>
    </w:p>
    <w:p>
      <w:pPr>
        <w:spacing w:after="0" w:line="140" w:lineRule="exact"/>
        <w:rPr>
          <w:sz w:val="20"/>
          <w:szCs w:val="20"/>
          <w:color w:val="auto"/>
        </w:rPr>
      </w:pPr>
    </w:p>
    <w:p>
      <w:pPr>
        <w:ind w:left="1260" w:right="579" w:firstLine="360"/>
        <w:spacing w:after="0" w:line="386" w:lineRule="auto"/>
        <w:rPr>
          <w:sz w:val="20"/>
          <w:szCs w:val="20"/>
          <w:color w:val="auto"/>
        </w:rPr>
      </w:pPr>
      <w:r>
        <w:rPr>
          <w:rFonts w:ascii="Arial" w:cs="Arial" w:eastAsia="Arial" w:hAnsi="Arial"/>
          <w:sz w:val="15"/>
          <w:szCs w:val="15"/>
          <w:b w:val="1"/>
          <w:bCs w:val="1"/>
          <w:color w:val="auto"/>
        </w:rPr>
        <w:t>We are providing Internet proxy voting to allow you to vote your shares online, with procedures designed to ensure the authenticity and correctness of your proxy vote instructions. However, please be aware that you</w:t>
      </w:r>
    </w:p>
    <w:p>
      <w:pPr>
        <w:sectPr>
          <w:pgSz w:w="11900" w:h="16838" w:orient="portrait"/>
          <w:cols w:equalWidth="0" w:num="1">
            <w:col w:w="9879"/>
          </w:cols>
          <w:pgMar w:left="580" w:top="131" w:right="1440" w:bottom="1440" w:gutter="0" w:footer="0" w:header="0"/>
        </w:sectPr>
      </w:pPr>
    </w:p>
    <w:p>
      <w:pPr>
        <w:spacing w:after="0" w:line="2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b w:val="1"/>
          <w:bCs w:val="1"/>
          <w:color w:val="auto"/>
        </w:rPr>
        <w:t>must bear any costs associated with your Internet access, such as usage charges from Internet access providers and telephone companies.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44" w:lineRule="exact"/>
        <w:rPr>
          <w:sz w:val="20"/>
          <w:szCs w:val="20"/>
          <w:color w:val="auto"/>
        </w:rPr>
      </w:pPr>
    </w:p>
    <w:p>
      <w:pPr>
        <w:jc w:val="both"/>
        <w:ind w:left="1260" w:right="479" w:firstLine="360"/>
        <w:spacing w:after="0" w:line="252" w:lineRule="auto"/>
        <w:rPr>
          <w:sz w:val="20"/>
          <w:szCs w:val="20"/>
          <w:color w:val="auto"/>
        </w:rPr>
      </w:pPr>
      <w:r>
        <w:rPr>
          <w:rFonts w:ascii="Arial" w:cs="Arial" w:eastAsia="Arial" w:hAnsi="Arial"/>
          <w:sz w:val="17"/>
          <w:szCs w:val="17"/>
          <w:color w:val="auto"/>
        </w:rPr>
        <w:t>If you are a beneficial owner of shares registered in the name of your broker, bank, or other agent, you should receive a proxy card and voting instructions with these proxy materials from that organization rather than from us. Simply complete and mail the proxy card to ensure that your vote is submitted to your broker or bank. Alternatively, you may vote over the Internet as instructed by your broker or bank. To vote in real time at the Special Meeting, you must obtain a valid legal proxy from your broker, bank, or other agent.</w:t>
      </w:r>
    </w:p>
    <w:p>
      <w:pPr>
        <w:spacing w:after="0" w:line="2"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Follow the instructions from your broker or bank included with these proxy materials or contact your broker or bank to request a proxy form.</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On each matter to be voted upon, you have one vote for each share of common stock you own as of June 16, 2021.</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If you return a signed and dated proxy card without marking any voting selections, your shares will be voted “For” Proposal 1, 2, 3, 4 and 5.</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the Company’s proxy solicitor, and who is paying for this proxy solicitation?</w:t>
      </w:r>
    </w:p>
    <w:p>
      <w:pPr>
        <w:spacing w:after="0" w:line="14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The Company has retained Regan &amp; Associates, Inc. (“Regan”), an independent proxy solicitation firm, to assist in soliciting proxies on our behalf. We have agreed to pay Regan a fee of $37,500, plus out-of-pocket expenses, for these services. We bear all proxy solicitation costs. If stockholders need assistance with casting or changing their vote, they should contact our proxy solicitor, Regan, at (212) 587-3005.</w:t>
      </w:r>
    </w:p>
    <w:p>
      <w:pPr>
        <w:spacing w:after="0" w:line="105"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162"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Are proxy materials available on the Internet?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proxy statement is available at https://investors.predictive-oncology.com.</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Yes. You can revoke your proxy at any time before the final vote at the Special Meeting. If you are the record holder of your shares, you may revoke your proxy in any one of three ways:</w:t>
      </w:r>
    </w:p>
    <w:p>
      <w:pPr>
        <w:spacing w:after="0" w:line="63" w:lineRule="exact"/>
        <w:rPr>
          <w:sz w:val="20"/>
          <w:szCs w:val="20"/>
          <w:color w:val="auto"/>
        </w:rPr>
      </w:pPr>
    </w:p>
    <w:p>
      <w:pPr>
        <w:ind w:left="1800" w:right="6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a written notice to the secretary of the Company before the Special Meeting stating that you would like to revoke your proxy.</w:t>
      </w:r>
    </w:p>
    <w:p>
      <w:pPr>
        <w:spacing w:after="0" w:line="48"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have signed and returned a paper proxy card, you may sign a new proxy card bearing a later date and submit it as instructed above.</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have voted by telephone or Internet, you may cast a new vote by telephone or over the Internet as instructed above.</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attend the Special Meeting to vote in person. Attending the meeting will not, by itself, revoke your proxy.</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If your shares are held by your broker or bank as a nominee or agent, you should follow the instructions provided by your broker or bank.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are votes counted?</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Votes will be counted by the inspector of election appointed for the meeting for each proposal separately. For Proposals 1, 2 and 3, the inspector of election will count “FOR”, “AGAINST”, abstentions and broker non-votes. For Proposals 4 and 5, the inspector of election will count “FOR”, “AGAINST” and abstentions. Abstentions will be counted towards the vote total for each proposal and will have the same effect as “Against” votes. Broker non-votes have no effect and will not be counted towards the vote total for any proposal, except for Proposal 1, for which broker non-votes will have the same effect as “Against” votes.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“broker non-votes”?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Proposals 4 and 5 are matters considered routine under the NYSE rules. All other proposals are matters considered non-routine by the New York Stock Exchange, and therefore, there may be broker non-votes on these proposals.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800" w:right="479" w:hanging="180"/>
        <w:spacing w:after="0" w:line="279"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be approved, Proposal 1 must receive a “For” vote from the majority of all shares entitled to vote either in person or by proxy — in other words, a “For” vote from a majority of all outstanding shares of common stock (net of treasury shares). If you “Abstain” from voting, it will have the same effect as an “Against” vote. A broker non-vote will also have the same effect as an “Against” vote.</w:t>
      </w:r>
    </w:p>
    <w:p>
      <w:pPr>
        <w:spacing w:after="0" w:line="63" w:lineRule="exact"/>
        <w:rPr>
          <w:rFonts w:ascii="Arial" w:cs="Arial" w:eastAsia="Arial" w:hAnsi="Arial"/>
          <w:sz w:val="17"/>
          <w:szCs w:val="17"/>
          <w:color w:val="auto"/>
        </w:rPr>
      </w:pPr>
    </w:p>
    <w:p>
      <w:pPr>
        <w:jc w:val="both"/>
        <w:ind w:left="1800" w:right="55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approved, Proposals 2 and 3 must receive a “For” vote from the majority of all shares present and entitled to vote on the matter, either in person or by proxy. If you “Abstain” from voting, it will have the same effect as an “Against” vote. Broker non-votes will have no effect.</w:t>
      </w:r>
    </w:p>
    <w:p>
      <w:pPr>
        <w:spacing w:after="0" w:line="75" w:lineRule="exact"/>
        <w:rPr>
          <w:rFonts w:ascii="Arial" w:cs="Arial" w:eastAsia="Arial" w:hAnsi="Arial"/>
          <w:sz w:val="18"/>
          <w:szCs w:val="18"/>
          <w:color w:val="auto"/>
        </w:rPr>
      </w:pPr>
    </w:p>
    <w:p>
      <w:pPr>
        <w:jc w:val="both"/>
        <w:ind w:left="1800" w:right="55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approved, Proposals 4 and 5 must receive a “For” vote from the majority of all shares present and entitled to vote on the matter, either in person or by proxy. If you “Abstain” from voting, it will have the same effect as an “Against” vote. There will be no broker- non votes.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quorum requirement?</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 quorum of the Company’s stockholders is necessary to hold a valid meeting. A quorum will be present if stockholders holding at least a majority of the outstanding shares are present at the virtual meeting or represented by proxy. On the record date, there were 65,339,695 shares of common stock outstanding and entitled to vote. Thus, the holders of 32,669,849 shares of common stock must be present at the virtual meeting or represented by proxy at the meeting to have a quorum.</w:t>
      </w:r>
    </w:p>
    <w:p>
      <w:pPr>
        <w:spacing w:after="0" w:line="107"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real time at the meeting. Abstentions will be counted towards the quorum requirement. If there is no quorum, the holders of a majority of shares present at the meeting or represented by proxy, or the chairman of the meeting, may adjourn the meeting to another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find out the results of the voting at the Special Meeting?</w:t>
      </w:r>
    </w:p>
    <w:p>
      <w:pPr>
        <w:spacing w:after="0" w:line="162"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Preliminary voting results will be announced at the Special Meeting. Final voting results will be published in a Current Report on Form 8-K, which we will file within four business days after the Special Meeting.</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60" w:right="60"/>
        <w:spacing w:after="0" w:line="250" w:lineRule="auto"/>
        <w:rPr>
          <w:sz w:val="20"/>
          <w:szCs w:val="20"/>
          <w:color w:val="auto"/>
        </w:rPr>
      </w:pPr>
      <w:r>
        <w:rPr>
          <w:rFonts w:ascii="Arial" w:cs="Arial" w:eastAsia="Arial" w:hAnsi="Arial"/>
          <w:sz w:val="18"/>
          <w:szCs w:val="18"/>
          <w:b w:val="1"/>
          <w:bCs w:val="1"/>
          <w:color w:val="auto"/>
        </w:rPr>
        <w:t>PROPOSAL NO. 1: APPROVAL OF AN AMENDMENT TO THE COMPANY’S CERTIFICATE OF INCORPORATION TO INCREASE THE NUMBER OF AUTHORIZED SHARES OF COMMON STOCK FROM 100,000,000 TO 200,000,000</w:t>
      </w:r>
    </w:p>
    <w:p>
      <w:pPr>
        <w:spacing w:after="0" w:line="100"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 xml:space="preserve">The Company’s Board has approved a proposal to amend the Company’s Certificate of Incorporation to increase the number of authorized shares of common stock from 100,000,000, to 200,000,000. The form of certificate of amendment to increase the Company’s authorized share capital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20"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Company’s authorized capital stock currently consists of 100,000,000 shares of common stock, par value $0.01 per share, and 20,000,000 shares of preferred stock, of which 2,300,000 shares have been designated Series B Convertible Preferred Stock, of which 79,246 shares are outstanding.</w:t>
      </w:r>
    </w:p>
    <w:p>
      <w:pPr>
        <w:spacing w:after="0" w:line="11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As of June 16, 2021, 65,339,695 shares of common stock are outstanding, 79,246 shares of preferred stock are outstanding, 15,062,139 shares of common stock are reserved for issuance upon exercise of outstanding warrants, 247,076 shares of common stock are reserved for future grants under the Company’s Amended and Restated 2012 Stock Incentive Plan (the “2012 Plan”), 1,042,105 shares of our common stock are issuable upon the exercise of outstanding stock options, up to 325,000 shares of our common stock are issuable upon the vesting and settlement of restricted stock units outstanding and 12,641 reserved for issuance under other arrangements. This leaves only 17,971,524 shares of common stock available for future issuances.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number of reserved shares in the preceding paragraph does not include (1) approximately</w:t>
      </w:r>
    </w:p>
    <w:p>
      <w:pPr>
        <w:spacing w:after="0" w:line="12" w:lineRule="exact"/>
        <w:rPr>
          <w:sz w:val="20"/>
          <w:szCs w:val="20"/>
          <w:color w:val="auto"/>
        </w:rPr>
      </w:pPr>
    </w:p>
    <w:p>
      <w:pPr>
        <w:ind w:left="1260" w:right="579"/>
        <w:spacing w:after="0" w:line="238" w:lineRule="auto"/>
        <w:rPr>
          <w:sz w:val="20"/>
          <w:szCs w:val="20"/>
          <w:color w:val="auto"/>
        </w:rPr>
      </w:pPr>
      <w:r>
        <w:rPr>
          <w:rFonts w:ascii="Arial" w:cs="Arial" w:eastAsia="Arial" w:hAnsi="Arial"/>
          <w:sz w:val="18"/>
          <w:szCs w:val="18"/>
          <w:color w:val="auto"/>
        </w:rPr>
        <w:t>16.7 million shares reserved under warrants issued in June 2021 that are not exercisable unless an increase in the Company’s authorized common stock to 200 million shares becomes effective, and (2) up to an additional 450,000 shares that would become issuable under restricted stock units that become payable in shares upon a sufficient increase in shares reserved under the 2012 Plan.</w:t>
      </w:r>
    </w:p>
    <w:p>
      <w:pPr>
        <w:spacing w:after="0" w:line="121"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Increasing the number of shares authorized will enable the Company to have sufficient shares for its anticipated equity financings, future equity offerings, other strategic acquisition opportunities, the continued issuance of equity awards under the 2012 Plan to recruit and retain key employees, and for other general corporate purposes. From time to time, the Company evaluates and engages in discussions relating to possible opportunities for raising additional capital or entering into other transactions that may involve the issuance of additional shares of capital stock. The Company presently has no obligations to issue additional capital stock other than as described above.</w:t>
      </w:r>
    </w:p>
    <w:p>
      <w:pPr>
        <w:spacing w:after="0" w:line="123"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The increased authorized capital stock will provide the Company’s Board with the ability to approve the issuance of additional shares of capital stock, and securities that are convertible or exercisable into shares of such capital stock, without further vote of the stockholders, except as required under applicable law. The number of shares to be issued in any particular transaction and the price and other terms on which such shares will be issued will be determined solely by the Company’s Board. Under the Company’s Certificate of Incorporation, its stockholders do not have preemptive rights with respect to The Company’s common stock or preferred stock. Thus, should the Company’s Board elect to issue additional shares, existing stockholders would not have any preferential rights to purchase any shares. In addition, under the Company’s Certificate of Incorporation, the Company’s Board has the authority to approve the rights and preferences of classes or series of preferred stock without stockholder approval.</w:t>
      </w:r>
    </w:p>
    <w:p>
      <w:pPr>
        <w:spacing w:after="0" w:line="99"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The proposed amendment to the Company’s Certificate of Incorporation is not being recommended in response to any specific effort of which the Company’s Board is aware to obtain control of the Company, and the Company Board does not intend or view the proposed increase in authorized common stock as an anti-takeover measure. However, the ability of the Company’s Board to authorize the issuance of the additional shares of common stock that would be available if the proposed amendment is approved and adopted could have the effect of discouraging or preventing a hostile takeover. Further, the increased authorized capital stock may have the effect of permitting the Company’s current management, including the current The Company Board, to retain its position, and place it in a better position to resist changes that stockholders may wish to make if they are dissatisfied with the conduct of the Company’s business. In the case of preferred stock, under certain circumstances, it may have the effect of delaying or preventing a change of control of the Company by increasing the number of outstanding shares entitled to vote and by increasing the number of votes required to approve a change of control of the Company.</w:t>
      </w:r>
    </w:p>
    <w:p>
      <w:pPr>
        <w:spacing w:after="0" w:line="37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To be approved, Proposal 1 must receive a “For” vote from the majority of all shares entitled to vote either in person or by proxy — in other words, a “For” vote from a majority of all outstanding shares of common stock (net of treasury shares). An abstention and a broker non- vote will have the same effect as an “Against” vote.</w:t>
      </w:r>
    </w:p>
    <w:p>
      <w:pPr>
        <w:spacing w:after="0" w:line="102"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b w:val="1"/>
          <w:bCs w:val="1"/>
          <w:color w:val="auto"/>
        </w:rPr>
        <w:t>THE BOARD UNANIMOUSLY RECOMMENDS THAT THE STOCKHOLDERS VOTE “FOR” THIS PROPOSAL TO APPROVE THE AMENDMENT TO THE COMPANY’S CERTIFICATE OF INCORPORATION TO INCREASE THE COMPANY’S AUTHORIZED CAPITAL STOCK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60" w:right="120"/>
        <w:spacing w:after="0" w:line="282" w:lineRule="auto"/>
        <w:rPr>
          <w:sz w:val="20"/>
          <w:szCs w:val="20"/>
          <w:color w:val="auto"/>
        </w:rPr>
      </w:pPr>
      <w:r>
        <w:rPr>
          <w:rFonts w:ascii="Arial" w:cs="Arial" w:eastAsia="Arial" w:hAnsi="Arial"/>
          <w:sz w:val="18"/>
          <w:szCs w:val="18"/>
          <w:b w:val="1"/>
          <w:bCs w:val="1"/>
          <w:color w:val="auto"/>
        </w:rPr>
        <w:t>PROPOSAL NO. 2: APPROVAL OF AMENDMENT TO AN AMENDED AND RESTATED 2012 STOCK INCENTIVE PLAN TO INCREASE THE SHARE RESERVE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Company’s Amended and Restated 2012 Stock Incentive Plan (as amended, the “2012 Plan”) was approved by the Company’s stockholders in September 2012. The stockholders have approved several increases in the share reserve under the 2012 Plan. Most recently, on September 3, 2020, the stockholders approved an Amended and Restated 2012 Plan under which the share reserve was increased by 750,000 shares to 1,750,000 shares. Currently, 1,042,105 shares of common stock are reserved pursuant to outstanding awards under the 2012 Plan, and 247,076 shares are available for further awards under the 2012 Plan.</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Company’s Board has approved a proposal to amend the 2012 Plan to increase the share reserve by 1,500,000 shares, to 3,250,000 shares (the “Amendment”). The Board believes that approval of Proposal No. 2 is in the best interests of the Company and its stockholders because the availability of an adequate number of shares reserved for issuance under the 2012 Plan is an important factor in attracting, retaining, and motivating employees, consultants and directors in order to achieve the Company’s long-term growth and profitability objectives. The Board has carefully considered the proposed increase in the share reserve and believes that this increase will be sufficient to permit the Company to attract, retain and motivate employees, consultants and directors. The Company currently has only two executive officers and will require additional executive and operating officers in order to effect its business plans that will drive future stockholder value. This factor, in turn will require significant equity compensation in order to attract and motivate these new officers.</w:t>
      </w:r>
    </w:p>
    <w:p>
      <w:pPr>
        <w:spacing w:after="0" w:line="12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To be approved, Proposal 2 must receive a “For” vote from the majority of all shares present and entitled to vote on the matter, either in person or by proxy. An abstention will have the same effect as an “Against” vote. Broker non-votes will have no effect.</w:t>
      </w:r>
    </w:p>
    <w:p>
      <w:pPr>
        <w:spacing w:after="0" w:line="103"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 xml:space="preserve">Below is a summary of the 2012 Plan, which is qualified entirely by reference to the complete text of the 2012 Plan, a copy of which reflecting the Amendment is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proxy statement.</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the 2012 Plan</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purpose of the 2012 Plan is to increase stockholder value and to advance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by furnishing a variety of economic incentives (“Incentives”) designed to attract, retain and motivate employees, certain key consultants and directors. Incentives may be granted to employees (including officers) of the Company or its subsidiaries, members of the board, and consultants or other independent contractors who provide services to the Company or its subsidiaries, in the following forms:</w:t>
      </w:r>
    </w:p>
    <w:p>
      <w:pPr>
        <w:spacing w:after="0" w:line="3" w:lineRule="exact"/>
        <w:rPr>
          <w:sz w:val="20"/>
          <w:szCs w:val="20"/>
          <w:color w:val="auto"/>
        </w:rPr>
      </w:pPr>
    </w:p>
    <w:p>
      <w:pPr>
        <w:ind w:left="1260" w:right="439"/>
        <w:spacing w:after="0" w:line="260" w:lineRule="auto"/>
        <w:tabs>
          <w:tab w:leader="none" w:pos="151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non-statutory stock options and incentive stock options; (b) stock appreciation rights (“SARs”); (c) stock awards; (d) restricted stock; (e) restricted stock units (“RSUs”); and (f) performance awards.</w:t>
      </w:r>
    </w:p>
    <w:p>
      <w:pPr>
        <w:spacing w:after="0" w:line="114" w:lineRule="exact"/>
        <w:rPr>
          <w:sz w:val="20"/>
          <w:szCs w:val="20"/>
          <w:color w:val="auto"/>
        </w:rPr>
      </w:pPr>
    </w:p>
    <w:p>
      <w:pPr>
        <w:ind w:left="1260" w:right="459" w:firstLine="360"/>
        <w:spacing w:after="0" w:line="292" w:lineRule="auto"/>
        <w:rPr>
          <w:sz w:val="20"/>
          <w:szCs w:val="20"/>
          <w:color w:val="auto"/>
        </w:rPr>
      </w:pPr>
      <w:r>
        <w:rPr>
          <w:rFonts w:ascii="Arial" w:cs="Arial" w:eastAsia="Arial" w:hAnsi="Arial"/>
          <w:sz w:val="16"/>
          <w:szCs w:val="16"/>
          <w:b w:val="1"/>
          <w:bCs w:val="1"/>
          <w:color w:val="auto"/>
        </w:rPr>
        <w:t xml:space="preserve">Shares Subject to 2012 Plan. </w:t>
      </w:r>
      <w:r>
        <w:rPr>
          <w:rFonts w:ascii="Arial" w:cs="Arial" w:eastAsia="Arial" w:hAnsi="Arial"/>
          <w:sz w:val="16"/>
          <w:szCs w:val="16"/>
          <w:color w:val="auto"/>
        </w:rPr>
        <w:t>Subject to adjustment, the number of shares of common stock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issued under the 2012 Plan if the Amendment is adopted shall not exceed 3,250,000 shares. In addition, any shares that were available in the reserve of the Company’s prior stock incentive plan (the “2008 Plan”) were added to the 2012 Plan share reserve for issuance under the 2012 Plan. If an Incentive granted under the 2012 Plan or under the 2008 Plan expires or is terminated or canceled unexercised as to any shares of common stock or forfeited or reacquired by the Company pursuant to rights reserved upon issuance thereof, such forfeited and reacquired shares may again be issued under the 2012 Plan pursuant to another Incentive.</w:t>
      </w:r>
    </w:p>
    <w:p>
      <w:pPr>
        <w:spacing w:after="0" w:line="8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2012 Plan is administered by the compensation committee, or if no committee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the Board. Notwithstanding the foregoing or anything else to the contrary contained in the Plan, the Company’s Chief Executive Officer or Chief Financial Officer may, on a discretionary basis and without the Committee’s review or approval, grant Stock Options to purchase up to 25,000 shares each to employees of the Company who are not officers of the Company. Such discretionary Stock Option grants shall not exceed 100,000 shares in total in any fiscal year. Subject to the foregoing limitations, the Chief Executive Officer or Chief Financial Officer shall determine from time to time (i) the employees to whom</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grants will be made, (ii) the number of shares to be granted and (iii) the terms and provisions of each Stock Option (which need not be identical).</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Incentives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compensation committee may grant non-qualified and incentive stock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to purchase shares of our common stock. The 2012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2012 Plan’s adoption by the board or approval by our stockholders.</w:t>
      </w:r>
    </w:p>
    <w:p>
      <w:pPr>
        <w:spacing w:after="0" w:line="109" w:lineRule="exact"/>
        <w:rPr>
          <w:sz w:val="20"/>
          <w:szCs w:val="20"/>
          <w:color w:val="auto"/>
        </w:rPr>
      </w:pPr>
    </w:p>
    <w:p>
      <w:pPr>
        <w:jc w:val="both"/>
        <w:ind w:left="1260" w:right="479" w:firstLine="360"/>
        <w:spacing w:after="0" w:line="241"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A stock appreciation right or “SAR” is a right to receive, without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 number of shares, cash or any combination 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16"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b w:val="1"/>
          <w:bCs w:val="1"/>
          <w:color w:val="auto"/>
        </w:rPr>
        <w:t>Stock Awards</w:t>
      </w:r>
      <w:r>
        <w:rPr>
          <w:rFonts w:ascii="Arial" w:cs="Arial" w:eastAsia="Arial" w:hAnsi="Arial"/>
          <w:sz w:val="18"/>
          <w:szCs w:val="18"/>
          <w:color w:val="auto"/>
        </w:rPr>
        <w:t>. Stock awards consist of the transfer by the Company to an eligible participant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with or without other payment, as additional compensation for services to the Company. The number of shares transferred pursuant to any stock award is determined by the compensation committee.</w:t>
      </w:r>
    </w:p>
    <w:p>
      <w:pPr>
        <w:spacing w:after="0" w:line="100"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consists of the sale or transfer by the Company to an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of one or more shares of common 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2012 Plan, a participant receiving restricted stock shall have all of the rights of a stockholder as to those shares.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b w:val="1"/>
          <w:bCs w:val="1"/>
          <w:color w:val="auto"/>
        </w:rPr>
        <w:t xml:space="preserve">RSUs. </w:t>
      </w:r>
      <w:r>
        <w:rPr>
          <w:rFonts w:ascii="Arial" w:cs="Arial" w:eastAsia="Arial" w:hAnsi="Arial"/>
          <w:sz w:val="17"/>
          <w:szCs w:val="17"/>
          <w:color w:val="auto"/>
        </w:rPr>
        <w:t>Restricted stock units represent the right to receive one share of common stock at a future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been granted subject to terms and conditions, including a 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109"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b w:val="1"/>
          <w:bCs w:val="1"/>
          <w:color w:val="auto"/>
        </w:rPr>
        <w:t xml:space="preserve">Performance Awards. </w:t>
      </w:r>
      <w:r>
        <w:rPr>
          <w:rFonts w:ascii="Arial" w:cs="Arial" w:eastAsia="Arial" w:hAnsi="Arial"/>
          <w:sz w:val="18"/>
          <w:szCs w:val="18"/>
          <w:color w:val="auto"/>
        </w:rPr>
        <w:t>A performance award is a right to either a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their cash equivalent, or a combination thereof, based on 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06" w:lineRule="exact"/>
        <w:rPr>
          <w:sz w:val="20"/>
          <w:szCs w:val="20"/>
          <w:color w:val="auto"/>
        </w:rPr>
      </w:pPr>
    </w:p>
    <w:p>
      <w:pPr>
        <w:ind w:left="1260" w:right="619" w:firstLine="360"/>
        <w:spacing w:after="0" w:line="329" w:lineRule="auto"/>
        <w:rPr>
          <w:sz w:val="20"/>
          <w:szCs w:val="20"/>
          <w:color w:val="auto"/>
        </w:rPr>
      </w:pPr>
      <w:r>
        <w:rPr>
          <w:rFonts w:ascii="Arial" w:cs="Arial" w:eastAsia="Arial" w:hAnsi="Arial"/>
          <w:sz w:val="16"/>
          <w:szCs w:val="16"/>
          <w:b w:val="1"/>
          <w:bCs w:val="1"/>
          <w:color w:val="auto"/>
        </w:rPr>
        <w:t xml:space="preserve">Transferability of Incentives. </w:t>
      </w:r>
      <w:r>
        <w:rPr>
          <w:rFonts w:ascii="Arial" w:cs="Arial" w:eastAsia="Arial" w:hAnsi="Arial"/>
          <w:sz w:val="16"/>
          <w:szCs w:val="16"/>
          <w:color w:val="auto"/>
        </w:rPr>
        <w:t>Incentives granted under the 2012 Plan may not be transferred,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or assigned by the holder thereof except, in the event of the holder’s death, by will or the laws of descent</w:t>
      </w:r>
    </w:p>
    <w:p>
      <w:pPr>
        <w:spacing w:after="0" w:line="31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and distribution or pursuant to a qualified domestic relations order. However, non-qualified stock options may be transferred by the holder thereof to certain family members or related entities.</w:t>
      </w:r>
    </w:p>
    <w:p>
      <w:pPr>
        <w:spacing w:after="0" w:line="86"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b w:val="1"/>
          <w:bCs w:val="1"/>
          <w:color w:val="auto"/>
        </w:rPr>
        <w:t xml:space="preserve">Duration, Termination and Amendment of the Incentive Plan and Incentives. </w:t>
      </w:r>
      <w:r>
        <w:rPr>
          <w:rFonts w:ascii="Arial" w:cs="Arial" w:eastAsia="Arial" w:hAnsi="Arial"/>
          <w:sz w:val="18"/>
          <w:szCs w:val="18"/>
          <w:color w:val="auto"/>
        </w:rPr>
        <w:t>The 2012 Plan will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until all Incentives granted under the 2012 Plan have been satisfied or terminated and all restrictions on shares issued under the 2012 Plan have lapsed.</w:t>
      </w:r>
    </w:p>
    <w:p>
      <w:pPr>
        <w:spacing w:after="0" w:line="113"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The Plan shall terminate no later than ten (10) years from the date of the later of (x) the Effective Date and (y) the date an increase in the number of shares reserved for issuance under the Plan is approved by the Board (so long as such increase is also approved by the shareholders). The Board of Directors may amend or discontinue the 2012 Plan at any time. However, no such amendment or discontinuance may adversely change or impair a previously granted Incentive without the consent of the recipient thereof. Certain 2012 Plan amendments require stockholder approval, including amendments which would increase the maximum number of shares of common stock which may be issued to all participants under the 2012 Plan, change the class of persons eligible to receive Incentives under the 2012 Plan, or materially increase the benefits accruing to participants under the 2012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 pricing under the federal securities laws or generally accepted accounting principles, or (b) extend the term of the Incentive, with certain exceptions.</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color w:val="auto"/>
        </w:rPr>
        <w:t xml:space="preserve">Change in Control; Effect of Sale, Merger, Exchange or Liquidation. </w:t>
      </w:r>
      <w:r>
        <w:rPr>
          <w:rFonts w:ascii="Arial" w:cs="Arial" w:eastAsia="Arial" w:hAnsi="Arial"/>
          <w:sz w:val="17"/>
          <w:szCs w:val="17"/>
          <w:color w:val="auto"/>
        </w:rPr>
        <w:t>Upon the occurrence of an event</w:t>
      </w:r>
      <w:r>
        <w:rPr>
          <w:rFonts w:ascii="Arial" w:cs="Arial" w:eastAsia="Arial" w:hAnsi="Arial"/>
          <w:sz w:val="17"/>
          <w:szCs w:val="17"/>
          <w:b w:val="1"/>
          <w:bCs w:val="1"/>
          <w:color w:val="auto"/>
        </w:rPr>
        <w:t xml:space="preserve"> </w:t>
      </w:r>
      <w:r>
        <w:rPr>
          <w:rFonts w:ascii="Arial" w:cs="Arial" w:eastAsia="Arial" w:hAnsi="Arial"/>
          <w:sz w:val="17"/>
          <w:szCs w:val="17"/>
          <w:color w:val="auto"/>
        </w:rPr>
        <w:t>satisfying the definition of “change in control” with respect to 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the Company through the sale of substantially all of the Company’s assets or through a merger, exchange, reorganization or liquidation or a similar event, the compensation committee has broad discretion to take any and all action it deems equitable under the circumstances, including but not limited to terminating the 2012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7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2012 Plan Benefits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amount and timing of all awards under the 2012 Plan are determined in the sole discretion of the compensation committee (or if no committee is designated, the board) and therefore cannot be determined in advance. The following table sets forth stock options and restricted stock that have granted under the 2012 Plan to the following persons and are outstanding:</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0" w:type="dxa"/>
            <w:vAlign w:val="bottom"/>
          </w:tcPr>
          <w:p>
            <w:pPr>
              <w:spacing w:after="0"/>
              <w:rPr>
                <w:sz w:val="1"/>
                <w:szCs w:val="1"/>
                <w:color w:val="auto"/>
              </w:rPr>
            </w:pPr>
          </w:p>
        </w:tc>
      </w:tr>
      <w:tr>
        <w:trPr>
          <w:trHeight w:val="162"/>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of Restricted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212"/>
        </w:trPr>
        <w:tc>
          <w:tcPr>
            <w:tcW w:w="55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Stock/RSUs</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50"/>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Melville Engle, CEO</w:t>
            </w:r>
          </w:p>
        </w:tc>
        <w:tc>
          <w:tcPr>
            <w:tcW w:w="1100" w:type="dxa"/>
            <w:vAlign w:val="bottom"/>
            <w:shd w:val="clear" w:color="auto" w:fill="CCEEFF"/>
          </w:tcPr>
          <w:p>
            <w:pPr>
              <w:jc w:val="right"/>
              <w:ind w:right="17"/>
              <w:spacing w:after="0" w:line="250" w:lineRule="exact"/>
              <w:rPr>
                <w:sz w:val="20"/>
                <w:szCs w:val="20"/>
                <w:color w:val="auto"/>
              </w:rPr>
            </w:pPr>
            <w:r>
              <w:rPr>
                <w:rFonts w:ascii="Arial" w:cs="Arial" w:eastAsia="Arial" w:hAnsi="Arial"/>
                <w:sz w:val="18"/>
                <w:szCs w:val="18"/>
                <w:color w:val="auto"/>
              </w:rPr>
              <w:t>450,000</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125,139</w:t>
            </w:r>
          </w:p>
        </w:tc>
        <w:tc>
          <w:tcPr>
            <w:tcW w:w="0" w:type="dxa"/>
            <w:vAlign w:val="bottom"/>
          </w:tcPr>
          <w:p>
            <w:pPr>
              <w:spacing w:after="0"/>
              <w:rPr>
                <w:sz w:val="1"/>
                <w:szCs w:val="1"/>
                <w:color w:val="auto"/>
              </w:rPr>
            </w:pPr>
          </w:p>
        </w:tc>
      </w:tr>
      <w:tr>
        <w:trPr>
          <w:trHeight w:val="256"/>
        </w:trPr>
        <w:tc>
          <w:tcPr>
            <w:tcW w:w="5780" w:type="dxa"/>
            <w:vAlign w:val="bottom"/>
            <w:gridSpan w:val="3"/>
          </w:tcPr>
          <w:p>
            <w:pPr>
              <w:spacing w:after="0"/>
              <w:rPr>
                <w:sz w:val="20"/>
                <w:szCs w:val="20"/>
                <w:color w:val="auto"/>
              </w:rPr>
            </w:pPr>
            <w:r>
              <w:rPr>
                <w:rFonts w:ascii="Arial" w:cs="Arial" w:eastAsia="Arial" w:hAnsi="Arial"/>
                <w:sz w:val="18"/>
                <w:szCs w:val="18"/>
                <w:color w:val="auto"/>
              </w:rPr>
              <w:t>Bob Myers, CFO</w:t>
            </w:r>
          </w:p>
        </w:tc>
        <w:tc>
          <w:tcPr>
            <w:tcW w:w="1100" w:type="dxa"/>
            <w:vAlign w:val="bottom"/>
          </w:tcPr>
          <w:p>
            <w:pPr>
              <w:jc w:val="right"/>
              <w:ind w:right="17"/>
              <w:spacing w:after="0" w:line="25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(2)</w:t>
            </w:r>
          </w:p>
        </w:tc>
        <w:tc>
          <w:tcPr>
            <w:tcW w:w="220" w:type="dxa"/>
            <w:vAlign w:val="bottom"/>
          </w:tcPr>
          <w:p>
            <w:pPr>
              <w:spacing w:after="0"/>
              <w:rPr>
                <w:sz w:val="22"/>
                <w:szCs w:val="22"/>
                <w:color w:val="auto"/>
              </w:rPr>
            </w:pP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47,478</w:t>
            </w:r>
          </w:p>
        </w:tc>
        <w:tc>
          <w:tcPr>
            <w:tcW w:w="0" w:type="dxa"/>
            <w:vAlign w:val="bottom"/>
          </w:tcPr>
          <w:p>
            <w:pPr>
              <w:spacing w:after="0"/>
              <w:rPr>
                <w:sz w:val="1"/>
                <w:szCs w:val="1"/>
                <w:color w:val="auto"/>
              </w:rPr>
            </w:pPr>
          </w:p>
        </w:tc>
      </w:tr>
      <w:tr>
        <w:trPr>
          <w:trHeight w:val="257"/>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Group</w:t>
            </w:r>
          </w:p>
        </w:tc>
        <w:tc>
          <w:tcPr>
            <w:tcW w:w="1100" w:type="dxa"/>
            <w:vAlign w:val="bottom"/>
            <w:shd w:val="clear" w:color="auto" w:fill="CCEEFF"/>
          </w:tcPr>
          <w:p>
            <w:pPr>
              <w:jc w:val="right"/>
              <w:ind w:right="17"/>
              <w:spacing w:after="0" w:line="256" w:lineRule="exact"/>
              <w:rPr>
                <w:sz w:val="20"/>
                <w:szCs w:val="20"/>
                <w:color w:val="auto"/>
              </w:rPr>
            </w:pPr>
            <w:r>
              <w:rPr>
                <w:rFonts w:ascii="Arial" w:cs="Arial" w:eastAsia="Arial" w:hAnsi="Arial"/>
                <w:sz w:val="18"/>
                <w:szCs w:val="18"/>
                <w:color w:val="auto"/>
              </w:rPr>
              <w:t>700,000</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172,617</w:t>
            </w:r>
          </w:p>
        </w:tc>
        <w:tc>
          <w:tcPr>
            <w:tcW w:w="0" w:type="dxa"/>
            <w:vAlign w:val="bottom"/>
          </w:tcPr>
          <w:p>
            <w:pPr>
              <w:spacing w:after="0"/>
              <w:rPr>
                <w:sz w:val="1"/>
                <w:szCs w:val="1"/>
                <w:color w:val="auto"/>
              </w:rPr>
            </w:pPr>
          </w:p>
        </w:tc>
      </w:tr>
      <w:tr>
        <w:trPr>
          <w:trHeight w:val="256"/>
        </w:trPr>
        <w:tc>
          <w:tcPr>
            <w:tcW w:w="5780" w:type="dxa"/>
            <w:vAlign w:val="bottom"/>
            <w:gridSpan w:val="3"/>
          </w:tcPr>
          <w:p>
            <w:pPr>
              <w:spacing w:after="0"/>
              <w:rPr>
                <w:sz w:val="20"/>
                <w:szCs w:val="20"/>
                <w:color w:val="auto"/>
              </w:rPr>
            </w:pPr>
            <w:r>
              <w:rPr>
                <w:rFonts w:ascii="Arial" w:cs="Arial" w:eastAsia="Arial" w:hAnsi="Arial"/>
                <w:sz w:val="18"/>
                <w:szCs w:val="18"/>
                <w:color w:val="auto"/>
              </w:rPr>
              <w:t>Non-Executive Director Group</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212,349</w:t>
            </w:r>
          </w:p>
        </w:tc>
        <w:tc>
          <w:tcPr>
            <w:tcW w:w="0" w:type="dxa"/>
            <w:vAlign w:val="bottom"/>
          </w:tcPr>
          <w:p>
            <w:pPr>
              <w:spacing w:after="0"/>
              <w:rPr>
                <w:sz w:val="1"/>
                <w:szCs w:val="1"/>
                <w:color w:val="auto"/>
              </w:rPr>
            </w:pPr>
          </w:p>
        </w:tc>
      </w:tr>
      <w:tr>
        <w:trPr>
          <w:trHeight w:val="270"/>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Non-Executive Officer Employee Group</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657,139</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-976630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-976630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53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Carl Schwartz, the former Chief Executive Officer of the Company, does not have any outstanding awards under the 2012 Plan.</w:t>
      </w:r>
    </w:p>
    <w:p>
      <w:pPr>
        <w:spacing w:after="0" w:line="21"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Long-Term Incentive Plan awards described below. In each case, the number of RSUs is shown, and the maximum number of shares issuable under such awards is 150% of the number of RSUs if performance is at the maximum level.</w:t>
      </w: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Long-Term Incentive Plan Awards</w:t>
      </w:r>
    </w:p>
    <w:p>
      <w:pPr>
        <w:spacing w:after="0" w:line="14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On May 17, 2021, the compensation committee of the Board adopted and approved a 2021 Long Term Incentive Plan (the “LTIP”) to provide appropriate incentives to the Company’s executive officers over the critical three year performance period consisting of fiscal years 2021, 2022 and 2023. Under the LTIP, the Company granted RSUs to the Company’s CEO, J. Melville Engle, and its CFO, Bob Myers, pursuant to the 2012 Plan. The LTIP awards consist of 300,000 RSUs for the CEO and 150,000 RSUs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be paid out on or before March 15, 2024, following the determination of the Company’s earnings per share in 2023. To the extent vested, the awards will be paid out in shares of common stock (subject to the possibility of partial cash payment as described below).</w:t>
      </w:r>
    </w:p>
    <w:p>
      <w:pPr>
        <w:spacing w:after="0" w:line="124" w:lineRule="exact"/>
        <w:rPr>
          <w:sz w:val="20"/>
          <w:szCs w:val="20"/>
          <w:color w:val="auto"/>
        </w:rPr>
      </w:pPr>
    </w:p>
    <w:p>
      <w:pPr>
        <w:jc w:val="both"/>
        <w:ind w:left="1260" w:right="499" w:firstLine="360"/>
        <w:spacing w:after="0" w:line="308" w:lineRule="auto"/>
        <w:rPr>
          <w:sz w:val="20"/>
          <w:szCs w:val="20"/>
          <w:color w:val="auto"/>
        </w:rPr>
      </w:pPr>
      <w:r>
        <w:rPr>
          <w:rFonts w:ascii="Arial" w:cs="Arial" w:eastAsia="Arial" w:hAnsi="Arial"/>
          <w:sz w:val="17"/>
          <w:szCs w:val="17"/>
          <w:color w:val="auto"/>
        </w:rPr>
        <w:t>Performance-based vesting of the RSUs in the tranche for each fiscal year (100,000 RSUs per year for the CEO and 50,000 RSUs per year for the CFO) will be based equally on two components of performance:</w:t>
      </w:r>
    </w:p>
    <w:p>
      <w:pPr>
        <w:spacing w:after="0" w:line="79" w:lineRule="exact"/>
        <w:rPr>
          <w:sz w:val="20"/>
          <w:szCs w:val="20"/>
          <w:color w:val="auto"/>
        </w:rPr>
      </w:pPr>
    </w:p>
    <w:p>
      <w:pPr>
        <w:ind w:left="1980" w:right="539" w:hanging="360"/>
        <w:spacing w:after="0" w:line="308" w:lineRule="auto"/>
        <w:tabs>
          <w:tab w:leader="none" w:pos="19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Stock Price</w:t>
      </w:r>
      <w:r>
        <w:rPr>
          <w:rFonts w:ascii="Arial" w:cs="Arial" w:eastAsia="Arial" w:hAnsi="Arial"/>
          <w:sz w:val="17"/>
          <w:szCs w:val="17"/>
          <w:color w:val="auto"/>
        </w:rPr>
        <w:t>. A stock price component is based on the average closing share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over the last 20 trading days of the fiscal year, as set forth in the LTIP.</w:t>
      </w:r>
    </w:p>
    <w:p>
      <w:pPr>
        <w:spacing w:after="0" w:line="65" w:lineRule="exact"/>
        <w:rPr>
          <w:rFonts w:ascii="Arial" w:cs="Arial" w:eastAsia="Arial" w:hAnsi="Arial"/>
          <w:sz w:val="17"/>
          <w:szCs w:val="17"/>
          <w:i w:val="1"/>
          <w:iCs w:val="1"/>
          <w:color w:val="auto"/>
        </w:rPr>
      </w:pPr>
    </w:p>
    <w:p>
      <w:pPr>
        <w:ind w:left="1980" w:right="699" w:hanging="360"/>
        <w:spacing w:after="0" w:line="277" w:lineRule="auto"/>
        <w:tabs>
          <w:tab w:leader="none" w:pos="1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r>
        <w:rPr>
          <w:rFonts w:ascii="Arial" w:cs="Arial" w:eastAsia="Arial" w:hAnsi="Arial"/>
          <w:sz w:val="18"/>
          <w:szCs w:val="18"/>
          <w:color w:val="auto"/>
        </w:rPr>
        <w:t>. An earnings component is based on the Company’s earnings (loss)</w:t>
      </w:r>
      <w:r>
        <w:rPr>
          <w:rFonts w:ascii="Arial" w:cs="Arial" w:eastAsia="Arial" w:hAnsi="Arial"/>
          <w:sz w:val="18"/>
          <w:szCs w:val="18"/>
          <w:i w:val="1"/>
          <w:iCs w:val="1"/>
          <w:color w:val="auto"/>
        </w:rPr>
        <w:t xml:space="preserve"> </w:t>
      </w:r>
      <w:r>
        <w:rPr>
          <w:rFonts w:ascii="Arial" w:cs="Arial" w:eastAsia="Arial" w:hAnsi="Arial"/>
          <w:sz w:val="18"/>
          <w:szCs w:val="18"/>
          <w:color w:val="auto"/>
        </w:rPr>
        <w:t>per common share for that fiscal year, as set forth in the LTIP.</w:t>
      </w:r>
    </w:p>
    <w:p>
      <w:pPr>
        <w:spacing w:after="0" w:line="10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16"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RSUs provide that, if the stockholders do not approve the Amendment or a sufficient amendment to the 2012 Plan on or before the vesting date of January 1, 2024, then only the first tranche of these RSUs will be paid out in common stock, and the second and third tranches will be paid out in cash equal to the value of the shares that would have vested and been paid out. Therefore, approval of Proposal 2 or a similar proposal prior to January 1, 2024 will result in the second and third tranches being paid out in shares of common stock, to the extent vested, rather than being payable in cash.</w:t>
      </w:r>
    </w:p>
    <w:p>
      <w:pPr>
        <w:spacing w:after="0" w:line="9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b w:val="1"/>
          <w:bCs w:val="1"/>
          <w:color w:val="auto"/>
        </w:rPr>
        <w:t>THE BOARD UNANIMOUSLY RECOMMENDS THAT YOU VOTE “FOR” THE PROPOSAL TO APPROVE THE AMENDMENT TO THE AMENDED AND RESTATED 2012 STOCK INCENTIVE PLAN TO INCREASE THE RESERVE OF SHARES OF COMMON STOCK AUTHORIZED FOR ISSUANCE THEREUNDER BY 1,500,000 SHARES, TO 3,250,000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80" w:right="40"/>
        <w:spacing w:after="0" w:line="250" w:lineRule="auto"/>
        <w:rPr>
          <w:sz w:val="20"/>
          <w:szCs w:val="20"/>
          <w:color w:val="auto"/>
        </w:rPr>
      </w:pPr>
      <w:r>
        <w:rPr>
          <w:rFonts w:ascii="Arial" w:cs="Arial" w:eastAsia="Arial" w:hAnsi="Arial"/>
          <w:sz w:val="18"/>
          <w:szCs w:val="18"/>
          <w:b w:val="1"/>
          <w:bCs w:val="1"/>
          <w:color w:val="auto"/>
        </w:rPr>
        <w:t>PROPOSAL 3: APPROVAL, PURSUANT TO NASDAQ LISTING RULE 5635(d), OF THE ISSUANCE OF ADDITIONAL SHARES OF COMMON STOCK PURSUANT TO A PREVIOUSLY APPROVED EQUITY LINE OF CREDIT ARRANGEMENT</w:t>
      </w:r>
    </w:p>
    <w:p>
      <w:pPr>
        <w:spacing w:after="0" w:line="10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On October 24, 2019 we entered into an Equity Purchase Agreement (the “Purchase Agreement”) with Oasis Capital, LLC (the “Investor”), providing for an equity financing facility (the “Equity Line”). The Purchase Agreement provides that, upon the terms and subject to the conditions in the Purchase Agreement, the Investor is committed to purchase shares (“Put Shares”) having an aggregate value of up to</w:t>
      </w:r>
    </w:p>
    <w:p>
      <w:pPr>
        <w:spacing w:after="0" w:line="2"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$15.0 million (the “Maximum Commitment Amount”) of our common stock, $0.01 par value per share (“Common Stock”), during the period (the “Commitment Period”) commencing on the Execution Date, and ending on the earlier of (i) the date on which the Investor shall have purchased Put Shares equal to the Maximum Commitment Amount, (ii) October 24, 2022, or (iii) written notice of termination by the Company to the Investor (which shall not occur at any time that the Investor holds any of the Put Shares). Certain terms of the Purchase Agreement are described below. In consideration for the Investor’s execution and delivery of, and performance under the Purchase Agreement, the Company also issued to the Investor 104,651 shares (the “Commitment Shares”) of Common Stock having an aggregate market value of $450,000, based on the closing sale price per share on the NASDAQ Capital Market (“Nasdaq”) on October 23, 2019.</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order to ensure compliance with Listing Rule 5635(d), on October 23, 2019, we sought stockholder approval at a special meeting of the issuance of common stock pursuant to the Equity Line. Rule 5635(d) requires stockholder approval to sell shares of common stock in excess of 20% of the Company’s issued and outstanding shares of common stock, unless such sales satisfy certain requirements. The stockholders granted such approval, subject to a limitation of 5,000,000 shares of common stock that could be issued under the Equity Line without further stockholder approval.</w:t>
      </w:r>
    </w:p>
    <w:p>
      <w:pPr>
        <w:spacing w:after="0" w:line="12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Since we entered into the Purchase Agreement, we have sold all 5,000,000 Put Shares that were approved by the stockholders for sale under the Equity Line. However, there is currently still $9,200,828.90 remaining available under the Maximum Commitment Amount. Therefore, we are seeking further stockholder approval to sell additional Put Shares under the Purchase Agreement, up to the remaining Maximum Commitment Amount and up to an additional 20,000,000 shares.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Terms of the Purchase Agreement</w:t>
      </w:r>
    </w:p>
    <w:p>
      <w:pPr>
        <w:spacing w:after="0" w:line="148"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7"/>
          <w:szCs w:val="17"/>
          <w:color w:val="auto"/>
        </w:rPr>
        <w:t>Under the terms of the Purchase Agreement, the Investor was not obligated to purchase Put Shares unless and until certain conditions were met, including but not limited to a registration statement on Form S-1 being effective which registers the Investor’s resale of any Put Shares purchased by it under the Equity Line and the Commitment Shares. The Company has caused three such registration statements to become effective, the latest of which became effective on February 9, 2021. That registration statement covers the resales of up to an additional 9,713,526 Put Shares by the Investor.</w:t>
      </w:r>
    </w:p>
    <w:p>
      <w:pPr>
        <w:spacing w:after="0" w:line="10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Under the Purchase Agreement, we have the right to direct the Investor to purchase shares of common stock from us, subject to certain price and volume requirements. Generally, the price of the Investor’s purchases will reflect a 9% discount to the lesser of (i) the lowest traded price in the 10 trading days prior to the date the Company requests the sale of shares or (ii) the closing bid price on the date the shares are delivered. Under certain circumstances, the Company will have the right to request additional sales on the same date or one of the two subsequent days, at a price that reflects a 9% discount to the lesser of (i) the lowest traded price in the 10 days prior to the date the Company requests the sale of shares, (ii) the volume weighted average trading price on the date the shares are delivered or (iii) the closing bid price on the date the shares are delivered.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Reasons for Transaction and Effect on Current Stockholders</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 Board of Directors has determined that our continuing ability to utilize the existing Equity Line would be in the best interests of the Company and its stockholders, because the right to sell additional Put Shares to the Investor will provide the Company with a reliable source of capital and the ability to access that capital when and as needed. Continuing sales to the Investor under the Equity Line will not affect the rights of the holders of outstanding common stock, but such sales will have a dilutive effect on the existing stockholders, including the voting power and economic rights of the existing stockholders.</w:t>
      </w: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Approval</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If this Proposal 3 is approved by our stockholders, we will be able to issue additional shares to the Investor pursuant to the Purchase Agreement, which involves sales at prices lower than the Applicable Closing Price. The number of shares of common stock that we may issue will fluctuate from time to time based on the price of our common stock. The additional shares that we could issue to the Investor, if Proposal 3 is approved, will result in greater dilution to existing stockholders and may result in a decline in our stock price or greater price volatility.</w:t>
      </w:r>
    </w:p>
    <w:p>
      <w:pPr>
        <w:spacing w:after="0" w:line="125"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Each additional share of common stock that would be issuable to the Investor will have the same rights and privileges as each share of our currently authorized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Vote Required</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To be approved, Proposal 3 must receive a “For” vote from the majority of all shares present and entitled to vote on the matter, either in person or by proxy. An abstention will have the same effect as an “Against” vote. Broker non-votes will have no effect.</w:t>
      </w:r>
    </w:p>
    <w:p>
      <w:pPr>
        <w:spacing w:after="0" w:line="100"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8"/>
          <w:szCs w:val="18"/>
          <w:b w:val="1"/>
          <w:bCs w:val="1"/>
          <w:color w:val="auto"/>
        </w:rPr>
        <w:t>THE BOARD OF DIRECTORS UNANIMOUSLY RECOMMENDS THAT THE STOCKHOLDERS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PROPOSAL NO. 4: RATIFICATION OF SELECTION OF INDEPENDENT AUDITORS</w:t>
      </w:r>
    </w:p>
    <w:p>
      <w:pPr>
        <w:spacing w:after="0" w:line="14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The Audit Committee has selected Baker Tilly Virchow Krause, LLP (“Baker Tilly”) as Predictive’s independent auditors for the fiscal year ending December 31, 2021 and has further directed that management submit the selection of independent auditors for ratification by the stockholders at the Special Meeting. Representatives of Baker Tilly are expected to be present at the Special Meeting. They will have an opportunity to make a statement if they so desire and will be available to respond to appropriate questions.</w:t>
      </w:r>
    </w:p>
    <w:p>
      <w:pPr>
        <w:spacing w:after="0" w:line="122"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Neither the Company’s Second Amended and Restated Bylaws nor other governing documents or law require stockholder ratification of the selection of Baker Tilly as Predictive’s independent auditors. However, the Audit Committee of the Board is submitting the selection of Baker Tilly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24"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affirmative vote of the majority of all shares present and entitled to vote on the matter, either in person or by proxy, will be required to ratify the selection of Baker Tilly. Abstentions will be counted toward the tabulation of votes cast on proposals presented to the stockholders and will have the same effect as negative votes. There will be no broker non-votes.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In connection with the audit of the fiscal 2021 financial statements, Predictive entered into an engagement agreement with Baker Tilly, which sets forth the terms by which Baker Tilly will perform audit services for Predictive.</w:t>
      </w:r>
    </w:p>
    <w:p>
      <w:pPr>
        <w:spacing w:after="0" w:line="11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following table represents aggregate fees billed to the Company (i) for the fiscal year ended December 31, 2020 by Baker Tilly and (i) for the fiscal year ended December 31, 2019 by Deloitte&amp; Touche LLP (“Deloitte”), the Company’s principal accountants for those periods. All fees described below were approved by the Audit Committee.</w:t>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5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210"/>
        </w:trPr>
        <w:tc>
          <w:tcPr>
            <w:tcW w:w="58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$306,235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$530,128</w:t>
            </w: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27,461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Tax Fees</w:t>
            </w:r>
            <w:r>
              <w:rPr>
                <w:rFonts w:ascii="Arial" w:cs="Arial" w:eastAsia="Arial" w:hAnsi="Arial"/>
                <w:sz w:val="25"/>
                <w:szCs w:val="25"/>
                <w:color w:val="auto"/>
                <w:vertAlign w:val="superscript"/>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34,719</w:t>
            </w:r>
          </w:p>
        </w:tc>
      </w:tr>
      <w:tr>
        <w:trPr>
          <w:trHeight w:val="230"/>
        </w:trPr>
        <w:tc>
          <w:tcPr>
            <w:tcW w:w="58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6"/>
                <w:szCs w:val="26"/>
                <w:color w:val="auto"/>
                <w:vertAlign w:val="superscript"/>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$393,361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-144780</wp:posOffset>
            </wp:positionV>
            <wp:extent cx="43116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-710565</wp:posOffset>
            </wp:positionV>
            <wp:extent cx="43033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439" w:hanging="360"/>
        <w:spacing w:after="0" w:line="259"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Predictive’s consolidated financial statements. Also, includes fees for services rendered in connection with the filing of registration statements and other documents with the SEC, the issuance of accountant consents and comfort letters.</w:t>
      </w:r>
    </w:p>
    <w:p>
      <w:pPr>
        <w:spacing w:after="0" w:line="38"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fees in 2020 consisted of fees related to providing predecessor auditor with required representations related to registration statements filed in 2020, and there were no audit-related fees in 2019.Includes 33,334 Restricted Stock Units vesting within 60 days of June 16, 2021. Includes options to purchase 47,478 shares that are exercisable within 60 days of June 16, 2021.</w:t>
      </w:r>
    </w:p>
    <w:p>
      <w:pPr>
        <w:spacing w:after="0" w:line="51"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performed by Baker Tilly US, LLP with respect to tax compliance during 2020 and Deloitte with respect to tax compliance during 2019.</w:t>
      </w:r>
    </w:p>
    <w:p>
      <w:pPr>
        <w:spacing w:after="0" w:line="35"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Fees consist of fees related to consulting services performed by Baker Tilly US, LLP provided prior to Baker Tilly US, LLP’s engagement as the Company’s independent registered public accounting firm. All services were provided prior to April 1, 2020 and were related to the audit closing process for the year ended December 31, 2019 as further described in the Company’s Form 8-K filing on April 30, 2020. There were no other fees in 2019.</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The Audit Committee is required to pre-approve the audit and non-audit services performed by Predictive’s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has determined that the rendering of the services other than audit services by Baker Tilly is compatible with maintaining the principal accountant’s independence.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Resignation of Independent Registered Public Accounting Firm</w:t>
      </w:r>
    </w:p>
    <w:p>
      <w:pPr>
        <w:spacing w:after="0" w:line="162"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On April 24, 2020, the Company dismissed Deloitte as the Company’s independent registered public accounting firm in connection with auditing the Company’s financial statements commencing fiscal year 2020. On April 24, 2020, the Audit Committee formally approved the engagement of Baker Tilly as the Company’s independent registered public accounting firm for the fiscal year ending December 31, 2020.</w:t>
      </w:r>
    </w:p>
    <w:p>
      <w:pPr>
        <w:spacing w:after="0" w:line="104"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The reports of Deloitte on the Company’s audited consolidated financial statements for the two most recent fiscal years ended December 31, 2019 and 2018 (the “Deloitte Reports”) did not contain an adverse opinion or a disclaimer of opinion, nor were they qualified or modified as to uncertainty, audit scope, or accounting principles. The Deloitte Reports did, however, include an explanatory paragraph related to the substantial doubt about the Company’s ability to continue as a going concern. During the Company’s two most recent fiscal years ended December 31, 2019 and 2018, and during the subsequent interim period preceding Deloitte’s dismissal, there were no disagreements with Deloitte on any matter of accounting principles or practices, financial statement disclosures, or auditing scope or procedures, which disagreements, if not resolved to the satisfaction of Deloitte would have caused Deloitte to make reference to the subject matter of the disagreements in connection with the Deloitte Reports.</w:t>
      </w:r>
    </w:p>
    <w:p>
      <w:pPr>
        <w:spacing w:after="0" w:line="10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As disclosed in the Company’s Form 10-K for the year ended December 31, 2019 filed with the SEC on April 1, 2020 (the “2019 10-K”), in connection with its evaluation of the effectiveness of its internal control over financial reporting (as defined in Rule 13a-15(f) under the Securities Exchange Act of 1934) as of December 31, 2019, the Company concluded that its internal control over financial reporting was not effective as of December 31, 2019 due to a material weakness. In particular, management determined that the Company has not maintained adequate accounting resources with a sufficient understanding of U.S. GAAP to allow the Company to properly identify and account for new complex transactions. The Company’s activities to remediate this material weakness are disclosed in the 2019 10-K. Deloitte discussed this material weakness with the Audit Committee of the Board of Directors of the Company. The Company authorized Deloitte to respond fully to the inquiries by the successor independent registered public accounting firm concerning this material weakness.</w:t>
      </w:r>
    </w:p>
    <w:p>
      <w:pPr>
        <w:spacing w:after="0" w:line="124"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The Company provided Deloitte with a copy of its Current Report on Form 8-K filed with the SEC on April 30, 2020 and disclosing Deloitte’s dismissal prior to its filing and requested that Deloitte furnish the Company with a letter addressed to the SEC stating whether or not Deloitte agrees with the above statements. A copy of the letter from Deloitte dated April 30, 2020 is filed with the Current Report as Exhibit 16.1.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Engagement of New Independent Registered Public Accounting Firm</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As set forth above, concurrent with the decision to dismissal Deloitte as the Company’s independent registered public accounting firm, the Audit Committee approved the engagement of Baker Tilly as the Company’s new independent registered public accounting firm, subject to completion of its standard client acceptance procedures.</w:t>
      </w:r>
    </w:p>
    <w:p>
      <w:pPr>
        <w:spacing w:after="0" w:line="102" w:lineRule="exact"/>
        <w:rPr>
          <w:sz w:val="20"/>
          <w:szCs w:val="20"/>
          <w:color w:val="auto"/>
        </w:rPr>
      </w:pPr>
    </w:p>
    <w:p>
      <w:pPr>
        <w:jc w:val="both"/>
        <w:ind w:left="1260" w:right="859" w:firstLine="360"/>
        <w:spacing w:after="0" w:line="266" w:lineRule="auto"/>
        <w:rPr>
          <w:sz w:val="20"/>
          <w:szCs w:val="20"/>
          <w:color w:val="auto"/>
        </w:rPr>
      </w:pPr>
      <w:r>
        <w:rPr>
          <w:rFonts w:ascii="Arial" w:cs="Arial" w:eastAsia="Arial" w:hAnsi="Arial"/>
          <w:sz w:val="18"/>
          <w:szCs w:val="18"/>
          <w:b w:val="1"/>
          <w:bCs w:val="1"/>
          <w:color w:val="auto"/>
        </w:rPr>
        <w:t>THE PREDICTIVE BOARD UNANIMOUSLY RECOMMENDS THAT YOU VOTE “FOR” THE RATIFICATION OF BAKER TILLY AS THE COMPANY’S INDEPENDENT REGISTERED PUBLIC ACCOUNTING FIRM.</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80" w:right="220"/>
        <w:spacing w:after="0" w:line="266" w:lineRule="auto"/>
        <w:rPr>
          <w:sz w:val="20"/>
          <w:szCs w:val="20"/>
          <w:color w:val="auto"/>
        </w:rPr>
      </w:pPr>
      <w:r>
        <w:rPr>
          <w:rFonts w:ascii="Arial" w:cs="Arial" w:eastAsia="Arial" w:hAnsi="Arial"/>
          <w:sz w:val="18"/>
          <w:szCs w:val="18"/>
          <w:b w:val="1"/>
          <w:bCs w:val="1"/>
          <w:color w:val="auto"/>
        </w:rPr>
        <w:t>PROPOSAL 5: APPROVAL OF A PROPOSAL TO ADJOURN THE ANNUAL MEETING, IF NECESSARY, TO SOLICIT ADDITIONAL PROXIES FOR APPROVAL OF PROPOSAL NOS. 1, 2, 3 AND/OR 4</w:t>
      </w:r>
    </w:p>
    <w:p>
      <w:pPr>
        <w:spacing w:after="0" w:line="99"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In the event that there are not sufficient votes to constitute a quorum or to approve the proposal to</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effect the Charter Proposal (Proposal 1), the Plan Proposal (Proposal 2), the Equity Line Proposal (Proposal</w:t>
      </w:r>
    </w:p>
    <w:p>
      <w:pPr>
        <w:spacing w:after="0" w:line="21" w:lineRule="exact"/>
        <w:rPr>
          <w:sz w:val="20"/>
          <w:szCs w:val="20"/>
          <w:color w:val="auto"/>
        </w:rPr>
      </w:pPr>
    </w:p>
    <w:p>
      <w:pPr>
        <w:ind w:left="1260" w:right="499"/>
        <w:spacing w:after="0" w:line="252" w:lineRule="auto"/>
        <w:tabs>
          <w:tab w:leader="none" w:pos="14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and/or the Auditor Proposal (Proposal 4), such proposals could not be approved unless such meeting was adjourned to a later date or dates in order to permit further solicitation of proxies. In order to allow proxies that have been received by us at the time of the Special Meeting to be voted for adjournment, you are being asked to consider a proposal to approve the adjournment of the meeting, if necessary or appropriate, including to permit further solicitation of proxies if necessary to obtain additional votes in favor of any or all of such proposals.</w:t>
      </w:r>
    </w:p>
    <w:p>
      <w:pPr>
        <w:spacing w:after="0" w:line="126" w:lineRule="exact"/>
        <w:rPr>
          <w:sz w:val="20"/>
          <w:szCs w:val="20"/>
          <w:color w:val="auto"/>
        </w:rPr>
      </w:pPr>
    </w:p>
    <w:p>
      <w:pPr>
        <w:jc w:val="both"/>
        <w:ind w:left="1260" w:right="439" w:firstLine="360"/>
        <w:spacing w:after="0" w:line="257" w:lineRule="auto"/>
        <w:rPr>
          <w:sz w:val="20"/>
          <w:szCs w:val="20"/>
          <w:color w:val="auto"/>
        </w:rPr>
      </w:pPr>
      <w:r>
        <w:rPr>
          <w:rFonts w:ascii="Arial" w:cs="Arial" w:eastAsia="Arial" w:hAnsi="Arial"/>
          <w:sz w:val="18"/>
          <w:szCs w:val="18"/>
          <w:color w:val="auto"/>
        </w:rPr>
        <w:t>If there are sufficient votes at the Special Meeting to approve one or more of Proposals 1, 2, 3 and 4, and this Proposal 5 is approved, but there are not sufficient votes to approve one or more of the proposals, the chairman of the Special Meeting intends to declare that any of the proposals have been approved and to then adjourn the meeting for the purpose of soliciting additional proxies to obtain the approval of such other proposals.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Vote Required</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To be approved, Proposal 5 must receive a “For” vote from the majority of all shares present and entitled to vote on the matter, either in person or by proxy. An abstention will have the same effect as an “Against” vote. There will be no broker non-votes.</w:t>
      </w:r>
    </w:p>
    <w:p>
      <w:pPr>
        <w:spacing w:after="0" w:line="10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b w:val="1"/>
          <w:bCs w:val="1"/>
          <w:color w:val="auto"/>
        </w:rPr>
        <w:t>THE BOARD OF DIRECTORS UNANIMOUSLY RECOMMENDS THAT THE STOCKHOLDERS VOTE “FOR” THIS PROPOSAL TO ADJOURN THE SPECIAL MEETING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16, 2021 (except where otherwise indicated) for:</w:t>
      </w:r>
    </w:p>
    <w:p>
      <w:pPr>
        <w:spacing w:after="0" w:line="63" w:lineRule="exact"/>
        <w:rPr>
          <w:sz w:val="20"/>
          <w:szCs w:val="20"/>
          <w:color w:val="auto"/>
        </w:rPr>
      </w:pPr>
    </w:p>
    <w:p>
      <w:pPr>
        <w:ind w:left="1800" w:right="57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person, or group of affiliated persons, who are known by us to beneficially own more than 5% of the outstanding shares of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named executive officers, as identified in our Annual Report on Form 10-K filed with the SEC on March 15, 2021;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the current directors and executive officers as a group.</w:t>
      </w:r>
    </w:p>
    <w:p>
      <w:pPr>
        <w:spacing w:after="0" w:line="158" w:lineRule="exact"/>
        <w:rPr>
          <w:sz w:val="20"/>
          <w:szCs w:val="20"/>
          <w:color w:val="auto"/>
        </w:rPr>
      </w:pPr>
    </w:p>
    <w:p>
      <w:pPr>
        <w:ind w:left="1260" w:right="619" w:firstLine="360"/>
        <w:spacing w:after="0" w:line="324" w:lineRule="auto"/>
        <w:rPr>
          <w:sz w:val="20"/>
          <w:szCs w:val="20"/>
          <w:color w:val="auto"/>
        </w:rPr>
      </w:pPr>
      <w:r>
        <w:rPr>
          <w:rFonts w:ascii="Arial" w:cs="Arial" w:eastAsia="Arial" w:hAnsi="Arial"/>
          <w:sz w:val="16"/>
          <w:szCs w:val="16"/>
          <w:color w:val="auto"/>
        </w:rPr>
        <w:t>The number of shares owned, total shares beneficially owned, and the percentage of common stock beneficially owned below assumes 65,339,695 shares of our common stock outstanding on June 16, 2021.</w:t>
      </w:r>
    </w:p>
    <w:p>
      <w:pPr>
        <w:spacing w:after="0" w:line="5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Beneficial ownership is determined under SEC rules and includes sole or shared power to vote or dispose of shares of our common stock. The number and percentage of shares beneficially owned by a person or entity also include shares of common stock subject to stock options that are currently exercisable or become exercisable within 60 days of June 16, 2021.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110"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Unless otherwise indicated, the address for each stockholder listed is: 2915 Commers Drive, Suite 900, Eagan, Minnesota 55121.</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100" w:type="dxa"/>
            <w:vAlign w:val="bottom"/>
          </w:tcPr>
          <w:p>
            <w:pPr>
              <w:jc w:val="center"/>
              <w:ind w:left="2008"/>
              <w:spacing w:after="0"/>
              <w:rPr>
                <w:sz w:val="20"/>
                <w:szCs w:val="20"/>
                <w:color w:val="auto"/>
              </w:rPr>
            </w:pPr>
            <w:r>
              <w:rPr>
                <w:rFonts w:ascii="Arial" w:cs="Arial" w:eastAsia="Arial" w:hAnsi="Arial"/>
                <w:sz w:val="14"/>
                <w:szCs w:val="14"/>
                <w:b w:val="1"/>
                <w:bCs w:val="1"/>
                <w:color w:val="auto"/>
                <w:w w:val="90"/>
              </w:rPr>
              <w:t>Amount and</w:t>
            </w:r>
          </w:p>
        </w:tc>
        <w:tc>
          <w:tcPr>
            <w:tcW w:w="5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3100" w:type="dxa"/>
            <w:vAlign w:val="bottom"/>
          </w:tcPr>
          <w:p>
            <w:pPr>
              <w:jc w:val="center"/>
              <w:ind w:left="2008"/>
              <w:spacing w:after="0"/>
              <w:rPr>
                <w:sz w:val="20"/>
                <w:szCs w:val="20"/>
                <w:color w:val="auto"/>
              </w:rPr>
            </w:pPr>
            <w:r>
              <w:rPr>
                <w:rFonts w:ascii="Arial" w:cs="Arial" w:eastAsia="Arial" w:hAnsi="Arial"/>
                <w:sz w:val="14"/>
                <w:szCs w:val="14"/>
                <w:b w:val="1"/>
                <w:bCs w:val="1"/>
                <w:color w:val="auto"/>
                <w:w w:val="94"/>
              </w:rPr>
              <w:t>Nature of</w:t>
            </w:r>
          </w:p>
        </w:tc>
        <w:tc>
          <w:tcPr>
            <w:tcW w:w="560" w:type="dxa"/>
            <w:vAlign w:val="bottom"/>
          </w:tcPr>
          <w:p>
            <w:pPr>
              <w:jc w:val="center"/>
              <w:ind w:left="48"/>
              <w:spacing w:after="0"/>
              <w:rPr>
                <w:sz w:val="20"/>
                <w:szCs w:val="20"/>
                <w:color w:val="auto"/>
              </w:rPr>
            </w:pPr>
            <w:r>
              <w:rPr>
                <w:rFonts w:ascii="Arial" w:cs="Arial" w:eastAsia="Arial" w:hAnsi="Arial"/>
                <w:sz w:val="14"/>
                <w:szCs w:val="14"/>
                <w:b w:val="1"/>
                <w:bCs w:val="1"/>
                <w:color w:val="auto"/>
                <w:w w:val="85"/>
              </w:rPr>
              <w:t>Percent</w:t>
            </w:r>
          </w:p>
        </w:tc>
      </w:tr>
      <w:tr>
        <w:trPr>
          <w:trHeight w:val="144"/>
        </w:trPr>
        <w:tc>
          <w:tcPr>
            <w:tcW w:w="3780" w:type="dxa"/>
            <w:vAlign w:val="bottom"/>
          </w:tcPr>
          <w:p>
            <w:pPr>
              <w:spacing w:after="0"/>
              <w:rPr>
                <w:sz w:val="12"/>
                <w:szCs w:val="12"/>
                <w:color w:val="auto"/>
              </w:rPr>
            </w:pPr>
          </w:p>
        </w:tc>
        <w:tc>
          <w:tcPr>
            <w:tcW w:w="3100" w:type="dxa"/>
            <w:vAlign w:val="bottom"/>
          </w:tcPr>
          <w:p>
            <w:pPr>
              <w:jc w:val="center"/>
              <w:ind w:left="2008"/>
              <w:spacing w:after="0" w:line="145" w:lineRule="exact"/>
              <w:rPr>
                <w:sz w:val="20"/>
                <w:szCs w:val="20"/>
                <w:color w:val="auto"/>
              </w:rPr>
            </w:pPr>
            <w:r>
              <w:rPr>
                <w:rFonts w:ascii="Arial" w:cs="Arial" w:eastAsia="Arial" w:hAnsi="Arial"/>
                <w:sz w:val="14"/>
                <w:szCs w:val="14"/>
                <w:b w:val="1"/>
                <w:bCs w:val="1"/>
                <w:color w:val="auto"/>
                <w:w w:val="87"/>
              </w:rPr>
              <w:t>Beneficial</w:t>
            </w:r>
          </w:p>
        </w:tc>
        <w:tc>
          <w:tcPr>
            <w:tcW w:w="56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90"/>
              </w:rPr>
              <w:t>of</w:t>
            </w:r>
          </w:p>
        </w:tc>
      </w:tr>
      <w:tr>
        <w:trPr>
          <w:trHeight w:val="285"/>
        </w:trPr>
        <w:tc>
          <w:tcPr>
            <w:tcW w:w="378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3100" w:type="dxa"/>
            <w:vAlign w:val="bottom"/>
          </w:tcPr>
          <w:p>
            <w:pPr>
              <w:jc w:val="center"/>
              <w:ind w:left="2048"/>
              <w:spacing w:after="0"/>
              <w:rPr>
                <w:sz w:val="20"/>
                <w:szCs w:val="20"/>
                <w:color w:val="auto"/>
              </w:rPr>
            </w:pPr>
            <w:r>
              <w:rPr>
                <w:rFonts w:ascii="Arial" w:cs="Arial" w:eastAsia="Arial" w:hAnsi="Arial"/>
                <w:sz w:val="14"/>
                <w:szCs w:val="14"/>
                <w:b w:val="1"/>
                <w:bCs w:val="1"/>
                <w:color w:val="auto"/>
                <w:w w:val="87"/>
              </w:rPr>
              <w:t>Ownership</w:t>
            </w:r>
            <w:r>
              <w:rPr>
                <w:rFonts w:ascii="Arial" w:cs="Arial" w:eastAsia="Arial" w:hAnsi="Arial"/>
                <w:sz w:val="21"/>
                <w:szCs w:val="21"/>
                <w:b w:val="1"/>
                <w:bCs w:val="1"/>
                <w:color w:val="auto"/>
                <w:w w:val="87"/>
                <w:vertAlign w:val="superscript"/>
              </w:rPr>
              <w:t>(1)</w:t>
            </w:r>
          </w:p>
        </w:tc>
        <w:tc>
          <w:tcPr>
            <w:tcW w:w="560" w:type="dxa"/>
            <w:vAlign w:val="bottom"/>
          </w:tcPr>
          <w:p>
            <w:pPr>
              <w:jc w:val="center"/>
              <w:ind w:left="88"/>
              <w:spacing w:after="0"/>
              <w:rPr>
                <w:sz w:val="20"/>
                <w:szCs w:val="20"/>
                <w:color w:val="auto"/>
              </w:rPr>
            </w:pPr>
            <w:r>
              <w:rPr>
                <w:rFonts w:ascii="Arial" w:cs="Arial" w:eastAsia="Arial" w:hAnsi="Arial"/>
                <w:sz w:val="14"/>
                <w:szCs w:val="14"/>
                <w:b w:val="1"/>
                <w:bCs w:val="1"/>
                <w:color w:val="auto"/>
                <w:w w:val="85"/>
              </w:rPr>
              <w:t>Class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ind w:left="1620"/>
        <w:spacing w:after="0"/>
        <w:rPr>
          <w:sz w:val="20"/>
          <w:szCs w:val="20"/>
          <w:color w:val="auto"/>
        </w:rPr>
      </w:pPr>
      <w:r>
        <w:rPr>
          <w:rFonts w:ascii="Arial" w:cs="Arial" w:eastAsia="Arial" w:hAnsi="Arial"/>
          <w:sz w:val="18"/>
          <w:szCs w:val="18"/>
          <w:b w:val="1"/>
          <w:bCs w:val="1"/>
          <w:color w:val="auto"/>
        </w:rPr>
        <w:t>Officers and Directors</w:t>
      </w:r>
    </w:p>
    <w:p>
      <w:pPr>
        <w:spacing w:after="0" w:line="21" w:lineRule="exact"/>
        <w:rPr>
          <w:sz w:val="20"/>
          <w:szCs w:val="20"/>
          <w:color w:val="auto"/>
        </w:rPr>
      </w:pPr>
    </w:p>
    <w:p>
      <w:pPr>
        <w:ind w:left="1620" w:right="3680"/>
        <w:spacing w:after="0" w:line="232" w:lineRule="auto"/>
        <w:rPr>
          <w:sz w:val="20"/>
          <w:szCs w:val="20"/>
          <w:color w:val="auto"/>
        </w:rPr>
      </w:pPr>
      <w:r>
        <w:rPr>
          <w:rFonts w:ascii="Arial" w:cs="Arial" w:eastAsia="Arial" w:hAnsi="Arial"/>
          <w:sz w:val="17"/>
          <w:szCs w:val="17"/>
          <w:color w:val="auto"/>
        </w:rPr>
        <w:t>J. Melville Engle</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Bob Myers</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Charles Nuzum</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Gregory St. Clair</w:t>
      </w:r>
      <w:r>
        <w:rPr>
          <w:rFonts w:ascii="Arial" w:cs="Arial" w:eastAsia="Arial" w:hAnsi="Arial"/>
          <w:sz w:val="25"/>
          <w:szCs w:val="25"/>
          <w:color w:val="auto"/>
          <w:vertAlign w:val="superscript"/>
        </w:rPr>
        <w:t>(5)</w:t>
      </w:r>
      <w:r>
        <w:rPr>
          <w:rFonts w:ascii="Arial" w:cs="Arial" w:eastAsia="Arial" w:hAnsi="Arial"/>
          <w:sz w:val="17"/>
          <w:szCs w:val="17"/>
          <w:color w:val="auto"/>
        </w:rPr>
        <w:t xml:space="preserve"> Dr. Daniel Handley</w:t>
      </w:r>
      <w:r>
        <w:rPr>
          <w:rFonts w:ascii="Arial" w:cs="Arial" w:eastAsia="Arial" w:hAnsi="Arial"/>
          <w:sz w:val="25"/>
          <w:szCs w:val="25"/>
          <w:color w:val="auto"/>
          <w:vertAlign w:val="superscript"/>
        </w:rPr>
        <w:t>(6)</w:t>
      </w:r>
    </w:p>
    <w:p>
      <w:pPr>
        <w:spacing w:after="0" w:line="2" w:lineRule="exact"/>
        <w:rPr>
          <w:sz w:val="20"/>
          <w:szCs w:val="20"/>
          <w:color w:val="auto"/>
        </w:rPr>
      </w:pPr>
    </w:p>
    <w:p>
      <w:pPr>
        <w:ind w:left="1620" w:right="3300"/>
        <w:spacing w:after="0" w:line="271" w:lineRule="auto"/>
        <w:rPr>
          <w:sz w:val="20"/>
          <w:szCs w:val="20"/>
          <w:color w:val="auto"/>
        </w:rPr>
      </w:pPr>
      <w:r>
        <w:rPr>
          <w:rFonts w:ascii="Arial" w:cs="Arial" w:eastAsia="Arial" w:hAnsi="Arial"/>
          <w:sz w:val="16"/>
          <w:szCs w:val="16"/>
          <w:color w:val="auto"/>
        </w:rPr>
        <w:t>Dr. Nancy Chung-Welch</w:t>
      </w:r>
      <w:r>
        <w:rPr>
          <w:rFonts w:ascii="Arial" w:cs="Arial" w:eastAsia="Arial" w:hAnsi="Arial"/>
          <w:sz w:val="23"/>
          <w:szCs w:val="23"/>
          <w:color w:val="auto"/>
          <w:vertAlign w:val="superscript"/>
        </w:rPr>
        <w:t>(7)</w:t>
      </w:r>
      <w:r>
        <w:rPr>
          <w:rFonts w:ascii="Arial" w:cs="Arial" w:eastAsia="Arial" w:hAnsi="Arial"/>
          <w:sz w:val="16"/>
          <w:szCs w:val="16"/>
          <w:color w:val="auto"/>
        </w:rPr>
        <w:t xml:space="preserve"> Dr. Christina Jenkins</w:t>
      </w:r>
    </w:p>
    <w:p>
      <w:pPr>
        <w:ind w:left="1620" w:right="1140"/>
        <w:spacing w:after="0" w:line="296" w:lineRule="auto"/>
        <w:rPr>
          <w:sz w:val="20"/>
          <w:szCs w:val="20"/>
          <w:color w:val="auto"/>
        </w:rPr>
      </w:pPr>
      <w:r>
        <w:rPr>
          <w:rFonts w:ascii="Arial" w:cs="Arial" w:eastAsia="Arial" w:hAnsi="Arial"/>
          <w:sz w:val="18"/>
          <w:szCs w:val="18"/>
          <w:b w:val="1"/>
          <w:bCs w:val="1"/>
          <w:color w:val="auto"/>
        </w:rPr>
        <w:t>All directors and executive officers as a group (7 persons) Dr. Carl Schwartz</w:t>
      </w:r>
      <w:r>
        <w:rPr>
          <w:rFonts w:ascii="Arial" w:cs="Arial" w:eastAsia="Arial" w:hAnsi="Arial"/>
          <w:sz w:val="26"/>
          <w:szCs w:val="26"/>
          <w:b w:val="1"/>
          <w:bCs w:val="1"/>
          <w:color w:val="auto"/>
          <w:vertAlign w:val="superscript"/>
        </w:rPr>
        <w:t>(8)</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-1716405</wp:posOffset>
            </wp:positionV>
            <wp:extent cx="474916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-1373505</wp:posOffset>
            </wp:positionV>
            <wp:extent cx="47491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-1030605</wp:posOffset>
            </wp:positionV>
            <wp:extent cx="474916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-695960</wp:posOffset>
            </wp:positionV>
            <wp:extent cx="474916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-224790</wp:posOffset>
            </wp:positionV>
            <wp:extent cx="1234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134,168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80,889</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53,876</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38,208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41,875</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49,934</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403,950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2,265,099</w:t>
      </w:r>
      <w:r>
        <w:rPr>
          <w:sz w:val="20"/>
          <w:szCs w:val="20"/>
          <w:color w:val="auto"/>
        </w:rPr>
        <w:tab/>
      </w:r>
      <w:r>
        <w:rPr>
          <w:rFonts w:ascii="Arial" w:cs="Arial" w:eastAsia="Arial" w:hAnsi="Arial"/>
          <w:sz w:val="16"/>
          <w:szCs w:val="16"/>
          <w:color w:val="auto"/>
        </w:rPr>
        <w:t>3.47%</w:t>
      </w:r>
    </w:p>
    <w:p>
      <w:pPr>
        <w:spacing w:after="0" w:line="693" w:lineRule="exact"/>
        <w:rPr>
          <w:sz w:val="20"/>
          <w:szCs w:val="20"/>
          <w:color w:val="auto"/>
        </w:rPr>
      </w:pPr>
    </w:p>
    <w:p>
      <w:pPr>
        <w:sectPr>
          <w:pgSz w:w="11900" w:h="16838" w:orient="portrait"/>
          <w:cols w:equalWidth="0" w:num="2">
            <w:col w:w="6940" w:space="720"/>
            <w:col w:w="2219"/>
          </w:cols>
          <w:pgMar w:left="580" w:top="131" w:right="1440" w:bottom="1440" w:gutter="0" w:footer="0" w:header="0"/>
          <w:type w:val="continuous"/>
        </w:sectPr>
      </w:pPr>
    </w:p>
    <w:p>
      <w:pPr>
        <w:ind w:left="1620" w:right="479" w:hanging="360"/>
        <w:spacing w:after="0" w:line="266"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of which the information is provided. In computing the percentage ownership of any person, the amount of shares outstanding is deemed to include the amount of shares beneficially owned by such person (and only such person) by reason of these acquisition rights. As a result,</w:t>
      </w:r>
    </w:p>
    <w:p>
      <w:pPr>
        <w:spacing w:after="0" w:line="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the percentage of</w:t>
      </w:r>
    </w:p>
    <w:p>
      <w:pPr>
        <w:sectPr>
          <w:pgSz w:w="11900" w:h="16838" w:orient="portrait"/>
          <w:cols w:equalWidth="0" w:num="1">
            <w:col w:w="9879"/>
          </w:cols>
          <w:pgMar w:left="580" w:top="131" w:right="1440" w:bottom="1440" w:gutter="0" w:footer="0" w:header="0"/>
          <w:type w:val="continuous"/>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306" w:lineRule="auto"/>
        <w:rPr>
          <w:sz w:val="20"/>
          <w:szCs w:val="20"/>
          <w:color w:val="auto"/>
        </w:rPr>
      </w:pPr>
      <w:r>
        <w:rPr>
          <w:rFonts w:ascii="Arial" w:cs="Arial" w:eastAsia="Arial" w:hAnsi="Arial"/>
          <w:sz w:val="17"/>
          <w:szCs w:val="17"/>
          <w:color w:val="auto"/>
        </w:rPr>
        <w:t>outstanding shares of any person as shown in this table does not necessarily reflect the person’s actual ownership or voting power with respect to the number of shares of common stock actually outstanding.</w:t>
      </w:r>
    </w:p>
    <w:p>
      <w:pPr>
        <w:spacing w:after="0" w:line="1" w:lineRule="exact"/>
        <w:rPr>
          <w:sz w:val="20"/>
          <w:szCs w:val="20"/>
          <w:color w:val="auto"/>
        </w:rPr>
      </w:pPr>
    </w:p>
    <w:p>
      <w:pPr>
        <w:ind w:left="1620" w:hanging="360"/>
        <w:spacing w:after="0"/>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options to purchase 125,139 shares that are exercisable within 60 days of June 16, 2021.</w:t>
      </w:r>
    </w:p>
    <w:p>
      <w:pPr>
        <w:spacing w:after="0" w:line="88" w:lineRule="exact"/>
        <w:rPr>
          <w:rFonts w:ascii="Arial" w:cs="Arial" w:eastAsia="Arial" w:hAnsi="Arial"/>
          <w:sz w:val="17"/>
          <w:szCs w:val="17"/>
          <w:color w:val="auto"/>
        </w:rPr>
      </w:pPr>
    </w:p>
    <w:p>
      <w:pPr>
        <w:ind w:left="1620" w:right="719" w:hanging="36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33,334 Restricted Stock Units vesting within 60 days of June 16, 2021. Includes options to purchase 47,478 shares that are exercisable within 60 days of June 16, 2021.</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June 16, 2021.</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26,623 shares that are exercisable within 60 days of June 16, 2021.</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32,846 shares that are exercisable within 60 days of June 16, 2021.</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June 16, 2021.</w:t>
      </w:r>
    </w:p>
    <w:p>
      <w:pPr>
        <w:spacing w:after="0" w:line="76" w:lineRule="exact"/>
        <w:rPr>
          <w:rFonts w:ascii="Arial" w:cs="Arial" w:eastAsia="Arial" w:hAnsi="Arial"/>
          <w:sz w:val="18"/>
          <w:szCs w:val="18"/>
          <w:color w:val="auto"/>
        </w:rPr>
      </w:pPr>
    </w:p>
    <w:p>
      <w:pPr>
        <w:ind w:left="1620" w:right="1239" w:hanging="36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2,091,695 shares owned directly, and options to purchase 173,404 shares that are exercisable within 60 days of June 16, 2021.</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Agreement</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June 14, 2021, the Company entered into a Securities Purchase Agreement, dated June 14, 2021 (the “Purchase Agreement”) with several institutional and accredited investors (the “Purchasers”). Pursuant to the Purchase Agreement, on June 16, 2021 the Company issued and sold in a registered direct offering (the “Offering”) an aggregate of 15,520,911 shares (the “Shares”) of its common stock and warrants to purchase up to an aggregate of 15,520,911 shares of common stock at a combined offering price of $1.375 per share and the accompanying warrant, for gross proceeds of $21,341,252.63. The warrants have an exercise price equal to $1.25 per share, are exercisable on the effective date of an increase in the number of shares of the Company’s authorized common stock to 200,000,000 and will expire three years after the initial exercise date.</w:t>
      </w:r>
    </w:p>
    <w:p>
      <w:pPr>
        <w:spacing w:after="0" w:line="115" w:lineRule="exact"/>
        <w:rPr>
          <w:sz w:val="20"/>
          <w:szCs w:val="20"/>
          <w:color w:val="auto"/>
        </w:rPr>
      </w:pPr>
    </w:p>
    <w:p>
      <w:pPr>
        <w:ind w:left="1260" w:right="619" w:firstLine="360"/>
        <w:spacing w:after="0" w:line="272" w:lineRule="auto"/>
        <w:rPr>
          <w:sz w:val="20"/>
          <w:szCs w:val="20"/>
          <w:color w:val="auto"/>
        </w:rPr>
      </w:pPr>
      <w:r>
        <w:rPr>
          <w:rFonts w:ascii="Arial" w:cs="Arial" w:eastAsia="Arial" w:hAnsi="Arial"/>
          <w:sz w:val="17"/>
          <w:szCs w:val="17"/>
          <w:color w:val="auto"/>
        </w:rPr>
        <w:t>Pursuant to the Purchase Agreement, among other agreements, the Purchasers have agreed to vote all shares of Common Stock issued or issuable to such Purchaser pursuant to the Purchase Agreement, over which the Purchaser or its affiliates have voting control, in favor of any resolution presented by the management to the shareholders of the Company at a meeting of shareholders called for the purpose of obtaining approval of the shareholders to effect the increase in the number of shares of the Company’s authorized common stock to 200,000,000. As a result, the Company expects that the Purchasers will vote the Shares in favor of all of the proposals presented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w:t>
      </w:r>
    </w:p>
    <w:p>
      <w:pPr>
        <w:spacing w:after="0" w:line="14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As of the date of this proxy statement, management does not intend to present any other items of business at the Special Meeting other than the proposals described above.</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J. Melville Engle</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 Melville Engle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Chief Executive Officer</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Eagan, Minnesota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25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882523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76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887666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3199"/>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4391025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PREDICTIVE ONCOLOGY INC.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 Delaware Corporation)</w:t>
      </w:r>
    </w:p>
    <w:p>
      <w:pPr>
        <w:spacing w:after="0" w:line="130" w:lineRule="exact"/>
        <w:rPr>
          <w:sz w:val="20"/>
          <w:szCs w:val="20"/>
          <w:color w:val="auto"/>
        </w:rPr>
      </w:pPr>
    </w:p>
    <w:p>
      <w:pPr>
        <w:jc w:val="both"/>
        <w:ind w:left="1260" w:right="619" w:firstLine="360"/>
        <w:spacing w:after="0" w:line="259" w:lineRule="auto"/>
        <w:rPr>
          <w:sz w:val="20"/>
          <w:szCs w:val="20"/>
          <w:color w:val="auto"/>
        </w:rPr>
      </w:pPr>
      <w:r>
        <w:rPr>
          <w:rFonts w:ascii="Arial" w:cs="Arial" w:eastAsia="Arial" w:hAnsi="Arial"/>
          <w:sz w:val="18"/>
          <w:szCs w:val="18"/>
          <w:color w:val="auto"/>
        </w:rPr>
        <w:t>Pursuant to Section 242 of the Delaware General Corporation Law, the undersigned, being the Chief Financial Officer of Predictive Oncology Inc.,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following resolutions were adopted by the Corporation’s Board of Directors and its stockholders as hereinafter described:</w:t>
      </w:r>
    </w:p>
    <w:p>
      <w:pPr>
        <w:spacing w:after="0" w:line="115" w:lineRule="exact"/>
        <w:rPr>
          <w:sz w:val="20"/>
          <w:szCs w:val="20"/>
          <w:color w:val="auto"/>
        </w:rPr>
      </w:pPr>
    </w:p>
    <w:p>
      <w:pPr>
        <w:ind w:left="1260" w:right="499" w:firstLine="36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Section 4.1 of the Certificate of Incorporation, as amended, of this Corporation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replaced with the following:</w:t>
      </w:r>
    </w:p>
    <w:p>
      <w:pPr>
        <w:spacing w:after="0" w:line="9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4.1 The total number of shares of stock that the Corporation shall have authority to issue is two hundred million (200,000,000) shares of common stock, having a par value of one cent ($0.01) per share (“Common Stock”); and twenty million (20,000,000) shares of preferred stock, with a par value of one cent ($0.01) per share (“Preferred Stock”).</w:t>
      </w:r>
    </w:p>
    <w:p>
      <w:pPr>
        <w:spacing w:after="0" w:line="102" w:lineRule="exact"/>
        <w:rPr>
          <w:sz w:val="20"/>
          <w:szCs w:val="20"/>
          <w:color w:val="auto"/>
        </w:rPr>
      </w:pPr>
    </w:p>
    <w:p>
      <w:pPr>
        <w:ind w:left="2240" w:right="859" w:hanging="623"/>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effective date of this Certificate of Amendment shall be August</w:t>
      </w:r>
      <w:r>
        <w:rPr>
          <w:rFonts w:ascii="Arial" w:cs="Arial" w:eastAsia="Arial" w:hAnsi="Arial"/>
          <w:sz w:val="18"/>
          <w:szCs w:val="18"/>
          <w:b w:val="1"/>
          <w:bCs w:val="1"/>
          <w:color w:val="auto"/>
        </w:rPr>
        <w:t xml:space="preserve"> </w:t>
      </w:r>
      <w:r>
        <w:rPr>
          <w:rFonts w:ascii="Arial" w:cs="Arial" w:eastAsia="Arial" w:hAnsi="Arial"/>
          <w:sz w:val="18"/>
          <w:szCs w:val="18"/>
          <w:color w:val="auto"/>
        </w:rPr>
        <w:t>, 2021.</w:t>
      </w:r>
    </w:p>
    <w:p>
      <w:pPr>
        <w:spacing w:after="0" w:line="9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foregoing resolution and this Certificate of Amendment were adopted by the Board of Directors of the Corporation pursuant to board resolution approved as of June , 2021, in accordance with Section 141 of the Delaware General Corporation Law, and of holders of a majority of the outstanding shares of the Corporation’s voting stock at a meeting of stockholders held on August 10, 2021 in accordance with Section 242 of the Delaware General Corporation Law.</w:t>
      </w:r>
    </w:p>
    <w:p>
      <w:pPr>
        <w:spacing w:after="0" w:line="116"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being the Chief Financial Officer of this Corporation, has</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this Certificate of Amendment to the Corporation’s Certificate of Incorporation, as amended, as of</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August</w:t>
            </w:r>
          </w:p>
        </w:tc>
        <w:tc>
          <w:tcPr>
            <w:tcW w:w="3700" w:type="dxa"/>
            <w:vAlign w:val="bottom"/>
          </w:tcPr>
          <w:p>
            <w:pPr>
              <w:jc w:val="right"/>
              <w:ind w:right="2630"/>
              <w:spacing w:after="0"/>
              <w:rPr>
                <w:sz w:val="20"/>
                <w:szCs w:val="20"/>
                <w:color w:val="auto"/>
              </w:rPr>
            </w:pPr>
            <w:r>
              <w:rPr>
                <w:rFonts w:ascii="Arial" w:cs="Arial" w:eastAsia="Arial" w:hAnsi="Arial"/>
                <w:sz w:val="18"/>
                <w:szCs w:val="18"/>
                <w:color w:val="auto"/>
              </w:rPr>
              <w:t>, 2021</w:t>
            </w:r>
          </w:p>
        </w:tc>
        <w:tc>
          <w:tcPr>
            <w:tcW w:w="3440" w:type="dxa"/>
            <w:vAlign w:val="bottom"/>
          </w:tcPr>
          <w:p>
            <w:pPr>
              <w:spacing w:after="0"/>
              <w:rPr>
                <w:sz w:val="20"/>
                <w:szCs w:val="20"/>
                <w:color w:val="auto"/>
              </w:rPr>
            </w:pPr>
          </w:p>
        </w:tc>
      </w:tr>
      <w:tr>
        <w:trPr>
          <w:trHeight w:val="364"/>
        </w:trPr>
        <w:tc>
          <w:tcPr>
            <w:tcW w:w="1060" w:type="dxa"/>
            <w:vAlign w:val="bottom"/>
          </w:tcPr>
          <w:p>
            <w:pPr>
              <w:spacing w:after="0"/>
              <w:rPr>
                <w:sz w:val="24"/>
                <w:szCs w:val="24"/>
                <w:color w:val="auto"/>
              </w:rPr>
            </w:pPr>
          </w:p>
        </w:tc>
        <w:tc>
          <w:tcPr>
            <w:tcW w:w="7140" w:type="dxa"/>
            <w:vAlign w:val="bottom"/>
            <w:gridSpan w:val="2"/>
          </w:tcPr>
          <w:p>
            <w:pPr>
              <w:ind w:left="3040"/>
              <w:spacing w:after="0"/>
              <w:rPr>
                <w:sz w:val="20"/>
                <w:szCs w:val="20"/>
                <w:color w:val="auto"/>
              </w:rPr>
            </w:pPr>
            <w:r>
              <w:rPr>
                <w:rFonts w:ascii="Arial" w:cs="Arial" w:eastAsia="Arial" w:hAnsi="Arial"/>
                <w:sz w:val="18"/>
                <w:szCs w:val="18"/>
                <w:color w:val="auto"/>
              </w:rPr>
              <w:t>PREDICTIVE ONCOLOGY INC.</w:t>
            </w:r>
          </w:p>
        </w:tc>
      </w:tr>
      <w:tr>
        <w:trPr>
          <w:trHeight w:val="338"/>
        </w:trPr>
        <w:tc>
          <w:tcPr>
            <w:tcW w:w="1060" w:type="dxa"/>
            <w:vAlign w:val="bottom"/>
          </w:tcPr>
          <w:p>
            <w:pPr>
              <w:spacing w:after="0"/>
              <w:rPr>
                <w:sz w:val="24"/>
                <w:szCs w:val="24"/>
                <w:color w:val="auto"/>
              </w:rPr>
            </w:pPr>
          </w:p>
        </w:tc>
        <w:tc>
          <w:tcPr>
            <w:tcW w:w="3700" w:type="dxa"/>
            <w:vAlign w:val="bottom"/>
          </w:tcPr>
          <w:p>
            <w:pPr>
              <w:ind w:left="3040"/>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0"/>
                <w:szCs w:val="20"/>
                <w:color w:val="auto"/>
              </w:rPr>
            </w:pPr>
            <w:r>
              <w:rPr>
                <w:rFonts w:ascii="Arial" w:cs="Arial" w:eastAsia="Arial" w:hAnsi="Arial"/>
                <w:sz w:val="18"/>
                <w:szCs w:val="18"/>
                <w:color w:val="auto"/>
              </w:rPr>
              <w:t>/s/ Bob Myers</w:t>
            </w:r>
          </w:p>
        </w:tc>
      </w:tr>
      <w:tr>
        <w:trPr>
          <w:trHeight w:val="27"/>
        </w:trPr>
        <w:tc>
          <w:tcPr>
            <w:tcW w:w="10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 xml:space="preserve">Bob Myers, </w:t>
            </w: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AMENDED AND RESTATED 2012 STOCK INCENTIVE PLAN</w:t>
      </w:r>
    </w:p>
    <w:p>
      <w:pPr>
        <w:spacing w:after="0" w:line="9" w:lineRule="exact"/>
        <w:rPr>
          <w:sz w:val="20"/>
          <w:szCs w:val="20"/>
          <w:color w:val="auto"/>
        </w:rPr>
      </w:pPr>
    </w:p>
    <w:p>
      <w:pPr>
        <w:jc w:val="center"/>
        <w:ind w:right="-840"/>
        <w:spacing w:after="0"/>
        <w:tabs>
          <w:tab w:leader="none" w:pos="280" w:val="left"/>
        </w:tabs>
        <w:rPr>
          <w:sz w:val="20"/>
          <w:szCs w:val="20"/>
          <w:color w:val="auto"/>
        </w:rPr>
      </w:pPr>
      <w:r>
        <w:rPr>
          <w:rFonts w:ascii="Arial" w:cs="Arial" w:eastAsia="Arial" w:hAnsi="Arial"/>
          <w:sz w:val="18"/>
          <w:szCs w:val="18"/>
          <w:b w:val="1"/>
          <w:bCs w:val="1"/>
          <w:color w:val="auto"/>
        </w:rPr>
        <w:t>Effective August</w:t>
      </w:r>
      <w:r>
        <w:rPr>
          <w:sz w:val="20"/>
          <w:szCs w:val="20"/>
          <w:color w:val="auto"/>
        </w:rPr>
        <w:tab/>
      </w:r>
      <w:r>
        <w:rPr>
          <w:rFonts w:ascii="Arial" w:cs="Arial" w:eastAsia="Arial" w:hAnsi="Arial"/>
          <w:sz w:val="16"/>
          <w:szCs w:val="16"/>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6572250</wp:posOffset>
            </wp:positionV>
            <wp:extent cx="123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859" w:hanging="36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numbers of shares of common stock herein have been adjusted for a one-for-ten (1:10) reverse stock split that was effective for trading purposes on October 29, 2019.</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180" w:type="dxa"/>
            <w:vAlign w:val="bottom"/>
            <w:tcBorders>
              <w:bottom w:val="single" w:sz="8" w:color="0000EE"/>
            </w:tcBorders>
            <w:shd w:val="clear" w:color="auto" w:fill="CCEEFF"/>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1.</w:t>
              </w:r>
            </w:hyperlink>
          </w:p>
        </w:tc>
        <w:tc>
          <w:tcPr>
            <w:tcW w:w="620" w:type="dxa"/>
            <w:vAlign w:val="bottom"/>
            <w:tcBorders>
              <w:bottom w:val="single" w:sz="8" w:color="0000EE"/>
            </w:tcBorders>
            <w:gridSpan w:val="3"/>
            <w:shd w:val="clear" w:color="auto" w:fill="CCEEFF"/>
          </w:tcPr>
          <w:p>
            <w:pPr>
              <w:ind w:left="20"/>
              <w:spacing w:after="0" w:line="189"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Purpose</w:t>
              </w:r>
            </w:hyperlink>
          </w:p>
        </w:tc>
        <w:tc>
          <w:tcPr>
            <w:tcW w:w="5120" w:type="dxa"/>
            <w:vAlign w:val="bottom"/>
            <w:tcBorders>
              <w:bottom w:val="single" w:sz="8" w:color="CCEEFF"/>
            </w:tcBorders>
            <w:gridSpan w:val="32"/>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0000EE"/>
            </w:tcBorders>
            <w:shd w:val="clear" w:color="auto" w:fill="CCEEFF"/>
          </w:tcPr>
          <w:p>
            <w:pPr>
              <w:jc w:val="right"/>
              <w:spacing w:after="0" w:line="189"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B-4</w:t>
              </w:r>
            </w:hyperlink>
          </w:p>
        </w:tc>
        <w:tc>
          <w:tcPr>
            <w:tcW w:w="1260" w:type="dxa"/>
            <w:vAlign w:val="bottom"/>
          </w:tcPr>
          <w:p>
            <w:pPr>
              <w:spacing w:after="0"/>
              <w:rPr>
                <w:sz w:val="16"/>
                <w:szCs w:val="16"/>
                <w:color w:val="auto"/>
              </w:rPr>
            </w:pPr>
          </w:p>
        </w:tc>
      </w:tr>
      <w:tr>
        <w:trPr>
          <w:trHeight w:val="237"/>
        </w:trPr>
        <w:tc>
          <w:tcPr>
            <w:tcW w:w="1260" w:type="dxa"/>
            <w:vAlign w:val="bottom"/>
          </w:tcPr>
          <w:p>
            <w:pPr>
              <w:spacing w:after="0"/>
              <w:rPr>
                <w:sz w:val="20"/>
                <w:szCs w:val="20"/>
                <w:color w:val="auto"/>
              </w:rPr>
            </w:pPr>
          </w:p>
        </w:tc>
        <w:tc>
          <w:tcPr>
            <w:tcW w:w="180" w:type="dxa"/>
            <w:vAlign w:val="bottom"/>
            <w:tcBorders>
              <w:bottom w:val="single" w:sz="8" w:color="0000EE"/>
            </w:tcBorders>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2.</w:t>
              </w:r>
            </w:hyperlink>
          </w:p>
        </w:tc>
        <w:tc>
          <w:tcPr>
            <w:tcW w:w="1160" w:type="dxa"/>
            <w:vAlign w:val="bottom"/>
            <w:tcBorders>
              <w:bottom w:val="single" w:sz="8" w:color="0000EE"/>
            </w:tcBorders>
            <w:gridSpan w:val="11"/>
          </w:tcPr>
          <w:p>
            <w:pPr>
              <w:ind w:left="20"/>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Administration</w:t>
              </w:r>
            </w:hyperlink>
          </w:p>
        </w:tc>
        <w:tc>
          <w:tcPr>
            <w:tcW w:w="4580" w:type="dxa"/>
            <w:vAlign w:val="bottom"/>
            <w:gridSpan w:val="24"/>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B-4</w:t>
              </w:r>
            </w:hyperlink>
          </w:p>
        </w:tc>
        <w:tc>
          <w:tcPr>
            <w:tcW w:w="1260" w:type="dxa"/>
            <w:vAlign w:val="bottom"/>
          </w:tcPr>
          <w:p>
            <w:pPr>
              <w:spacing w:after="0"/>
              <w:rPr>
                <w:sz w:val="20"/>
                <w:szCs w:val="20"/>
                <w:color w:val="auto"/>
              </w:rPr>
            </w:pPr>
          </w:p>
        </w:tc>
      </w:tr>
      <w:tr>
        <w:trPr>
          <w:trHeight w:val="237"/>
        </w:trPr>
        <w:tc>
          <w:tcPr>
            <w:tcW w:w="1260" w:type="dxa"/>
            <w:vAlign w:val="bottom"/>
          </w:tcPr>
          <w:p>
            <w:pPr>
              <w:spacing w:after="0"/>
              <w:rPr>
                <w:sz w:val="20"/>
                <w:szCs w:val="20"/>
                <w:color w:val="auto"/>
              </w:rPr>
            </w:pPr>
          </w:p>
        </w:tc>
        <w:tc>
          <w:tcPr>
            <w:tcW w:w="1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560" w:type="dxa"/>
            <w:vAlign w:val="bottom"/>
            <w:tcBorders>
              <w:bottom w:val="single" w:sz="8" w:color="0000EE"/>
            </w:tcBorders>
            <w:gridSpan w:val="14"/>
            <w:shd w:val="clear" w:color="auto" w:fill="CCEEFF"/>
          </w:tcPr>
          <w:p>
            <w:pPr>
              <w:ind w:left="20"/>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Eligible Participants</w:t>
              </w:r>
            </w:hyperlink>
          </w:p>
        </w:tc>
        <w:tc>
          <w:tcPr>
            <w:tcW w:w="4180" w:type="dxa"/>
            <w:vAlign w:val="bottom"/>
            <w:tcBorders>
              <w:bottom w:val="single" w:sz="8" w:color="CCEEFF"/>
            </w:tcBorders>
            <w:gridSpan w:val="21"/>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B-4</w:t>
              </w:r>
            </w:hyperlink>
          </w:p>
        </w:tc>
        <w:tc>
          <w:tcPr>
            <w:tcW w:w="1260" w:type="dxa"/>
            <w:vAlign w:val="bottom"/>
          </w:tcPr>
          <w:p>
            <w:pPr>
              <w:spacing w:after="0"/>
              <w:rPr>
                <w:sz w:val="20"/>
                <w:szCs w:val="20"/>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5740" w:type="dxa"/>
            <w:vAlign w:val="bottom"/>
            <w:gridSpan w:val="35"/>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Types of Incentives</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B-4</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5.</w:t>
              </w:r>
            </w:hyperlink>
          </w:p>
        </w:tc>
        <w:tc>
          <w:tcPr>
            <w:tcW w:w="1980" w:type="dxa"/>
            <w:vAlign w:val="bottom"/>
            <w:tcBorders>
              <w:bottom w:val="single" w:sz="8" w:color="0000EE"/>
            </w:tcBorders>
            <w:gridSpan w:val="20"/>
            <w:shd w:val="clear" w:color="auto" w:fill="CCEEFF"/>
          </w:tcPr>
          <w:p>
            <w:pPr>
              <w:ind w:left="20"/>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Shares Subject to the Plan</w:t>
              </w:r>
            </w:hyperlink>
          </w:p>
        </w:tc>
        <w:tc>
          <w:tcPr>
            <w:tcW w:w="3760" w:type="dxa"/>
            <w:vAlign w:val="bottom"/>
            <w:tcBorders>
              <w:bottom w:val="single" w:sz="8" w:color="CCEEFF"/>
            </w:tcBorders>
            <w:gridSpan w:val="15"/>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B-4</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1400" w:type="dxa"/>
            <w:vAlign w:val="bottom"/>
            <w:tcBorders>
              <w:bottom w:val="single" w:sz="8" w:color="0000EE"/>
            </w:tcBorders>
            <w:gridSpan w:val="15"/>
          </w:tcPr>
          <w:p>
            <w:pPr>
              <w:ind w:left="40"/>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Number of Shares</w:t>
              </w:r>
            </w:hyperlink>
          </w:p>
        </w:tc>
        <w:tc>
          <w:tcPr>
            <w:tcW w:w="4040" w:type="dxa"/>
            <w:vAlign w:val="bottom"/>
            <w:gridSpan w:val="19"/>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B-4</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5.</w:t>
              </w:r>
              <w:r>
                <w:rPr>
                  <w:rFonts w:ascii="Arial" w:cs="Arial" w:eastAsia="Arial" w:hAnsi="Arial"/>
                  <w:sz w:val="18"/>
                  <w:szCs w:val="18"/>
                  <w:u w:val="single" w:color="auto"/>
                  <w:color w:val="0000EE"/>
                  <w:w w:val="93"/>
                </w:rPr>
                <w:t>2.</w:t>
              </w:r>
            </w:hyperlink>
          </w:p>
        </w:tc>
        <w:tc>
          <w:tcPr>
            <w:tcW w:w="5440" w:type="dxa"/>
            <w:vAlign w:val="bottom"/>
            <w:gridSpan w:val="34"/>
            <w:shd w:val="clear" w:color="auto" w:fill="CCEEFF"/>
          </w:tcPr>
          <w:p>
            <w:pPr>
              <w:ind w:left="40"/>
              <w:spacing w:after="0"/>
              <w:rPr>
                <w:rFonts w:ascii="Arial" w:cs="Arial" w:eastAsia="Arial" w:hAnsi="Arial"/>
                <w:sz w:val="18"/>
                <w:szCs w:val="18"/>
                <w:color w:val="0000EE"/>
              </w:rPr>
            </w:pPr>
            <w:hyperlink w:anchor="page30">
              <w:r>
                <w:rPr>
                  <w:rFonts w:ascii="Arial" w:cs="Arial" w:eastAsia="Arial" w:hAnsi="Arial"/>
                  <w:sz w:val="18"/>
                  <w:szCs w:val="18"/>
                  <w:color w:val="0000EE"/>
                </w:rPr>
                <w:t>Cancellation</w:t>
              </w:r>
            </w:hyperlink>
          </w:p>
        </w:tc>
        <w:tc>
          <w:tcPr>
            <w:tcW w:w="19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B-5</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5.</w:t>
              </w:r>
              <w:r>
                <w:rPr>
                  <w:rFonts w:ascii="Arial" w:cs="Arial" w:eastAsia="Arial" w:hAnsi="Arial"/>
                  <w:sz w:val="18"/>
                  <w:szCs w:val="18"/>
                  <w:u w:val="single" w:color="auto"/>
                  <w:color w:val="0000EE"/>
                  <w:w w:val="93"/>
                </w:rPr>
                <w:t>3.</w:t>
              </w:r>
            </w:hyperlink>
          </w:p>
        </w:tc>
        <w:tc>
          <w:tcPr>
            <w:tcW w:w="5440" w:type="dxa"/>
            <w:vAlign w:val="bottom"/>
            <w:gridSpan w:val="34"/>
          </w:tcPr>
          <w:p>
            <w:pPr>
              <w:ind w:left="40"/>
              <w:spacing w:after="0"/>
              <w:rPr>
                <w:rFonts w:ascii="Arial" w:cs="Arial" w:eastAsia="Arial" w:hAnsi="Arial"/>
                <w:sz w:val="18"/>
                <w:szCs w:val="18"/>
                <w:color w:val="0000EE"/>
              </w:rPr>
            </w:pPr>
            <w:hyperlink w:anchor="page30">
              <w:r>
                <w:rPr>
                  <w:rFonts w:ascii="Arial" w:cs="Arial" w:eastAsia="Arial" w:hAnsi="Arial"/>
                  <w:sz w:val="18"/>
                  <w:szCs w:val="18"/>
                  <w:color w:val="0000EE"/>
                </w:rPr>
                <w:t>Type of Common Stock</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B-5</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5.</w:t>
              </w:r>
              <w:r>
                <w:rPr>
                  <w:rFonts w:ascii="Arial" w:cs="Arial" w:eastAsia="Arial" w:hAnsi="Arial"/>
                  <w:sz w:val="18"/>
                  <w:szCs w:val="18"/>
                  <w:u w:val="single" w:color="auto"/>
                  <w:color w:val="0000EE"/>
                  <w:w w:val="93"/>
                </w:rPr>
                <w:t>4.</w:t>
              </w:r>
            </w:hyperlink>
          </w:p>
        </w:tc>
        <w:tc>
          <w:tcPr>
            <w:tcW w:w="5440" w:type="dxa"/>
            <w:vAlign w:val="bottom"/>
            <w:gridSpan w:val="34"/>
            <w:shd w:val="clear" w:color="auto" w:fill="CCEEFF"/>
          </w:tcPr>
          <w:p>
            <w:pPr>
              <w:ind w:left="40"/>
              <w:spacing w:after="0"/>
              <w:rPr>
                <w:rFonts w:ascii="Arial" w:cs="Arial" w:eastAsia="Arial" w:hAnsi="Arial"/>
                <w:sz w:val="18"/>
                <w:szCs w:val="18"/>
                <w:color w:val="0000EE"/>
              </w:rPr>
            </w:pPr>
            <w:hyperlink w:anchor="page30">
              <w:r>
                <w:rPr>
                  <w:rFonts w:ascii="Arial" w:cs="Arial" w:eastAsia="Arial" w:hAnsi="Arial"/>
                  <w:sz w:val="18"/>
                  <w:szCs w:val="18"/>
                  <w:color w:val="0000EE"/>
                </w:rPr>
                <w:t>Limitation on Awards Granted to Non-Employee Directors</w:t>
              </w:r>
            </w:hyperlink>
          </w:p>
        </w:tc>
        <w:tc>
          <w:tcPr>
            <w:tcW w:w="19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CCEEFF"/>
              <w:bottom w:val="single" w:sz="8" w:color="0000EE"/>
            </w:tcBorders>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6.</w:t>
              </w:r>
            </w:hyperlink>
          </w:p>
        </w:tc>
        <w:tc>
          <w:tcPr>
            <w:tcW w:w="1080" w:type="dxa"/>
            <w:vAlign w:val="bottom"/>
            <w:tcBorders>
              <w:top w:val="single" w:sz="8" w:color="0000EE"/>
              <w:bottom w:val="single" w:sz="8" w:color="0000EE"/>
            </w:tcBorders>
            <w:gridSpan w:val="9"/>
          </w:tcPr>
          <w:p>
            <w:pPr>
              <w:ind w:left="20"/>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Stock Options</w:t>
              </w:r>
            </w:hyperlink>
          </w:p>
        </w:tc>
        <w:tc>
          <w:tcPr>
            <w:tcW w:w="3680" w:type="dxa"/>
            <w:vAlign w:val="bottom"/>
            <w:tcBorders>
              <w:top w:val="single" w:sz="8" w:color="0000EE"/>
            </w:tcBorders>
            <w:gridSpan w:val="23"/>
          </w:tcPr>
          <w:p>
            <w:pPr>
              <w:spacing w:after="0"/>
              <w:rPr>
                <w:sz w:val="21"/>
                <w:szCs w:val="21"/>
                <w:color w:val="auto"/>
              </w:rPr>
            </w:pPr>
          </w:p>
        </w:tc>
        <w:tc>
          <w:tcPr>
            <w:tcW w:w="980" w:type="dxa"/>
            <w:vAlign w:val="bottom"/>
            <w:tcBorders>
              <w:top w:val="single" w:sz="8" w:color="CCEEFF"/>
            </w:tcBorders>
            <w:gridSpan w:val="3"/>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0000EE"/>
              <w:bottom w:val="single" w:sz="8" w:color="0000EE"/>
            </w:tcBorders>
          </w:tcPr>
          <w:p>
            <w:pPr>
              <w:jc w:val="right"/>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6.</w:t>
              </w:r>
              <w:r>
                <w:rPr>
                  <w:rFonts w:ascii="Arial" w:cs="Arial" w:eastAsia="Arial" w:hAnsi="Arial"/>
                  <w:sz w:val="18"/>
                  <w:szCs w:val="18"/>
                  <w:u w:val="single" w:color="auto"/>
                  <w:color w:val="0000EE"/>
                  <w:w w:val="93"/>
                </w:rPr>
                <w:t>1.</w:t>
              </w:r>
            </w:hyperlink>
          </w:p>
        </w:tc>
        <w:tc>
          <w:tcPr>
            <w:tcW w:w="420" w:type="dxa"/>
            <w:vAlign w:val="bottom"/>
            <w:tcBorders>
              <w:bottom w:val="single" w:sz="8" w:color="0000EE"/>
            </w:tcBorders>
            <w:gridSpan w:val="4"/>
            <w:shd w:val="clear" w:color="auto" w:fill="CCEEFF"/>
          </w:tcPr>
          <w:p>
            <w:pPr>
              <w:ind w:left="40"/>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Price</w:t>
              </w:r>
            </w:hyperlink>
          </w:p>
        </w:tc>
        <w:tc>
          <w:tcPr>
            <w:tcW w:w="5020" w:type="dxa"/>
            <w:vAlign w:val="bottom"/>
            <w:tcBorders>
              <w:bottom w:val="single" w:sz="8" w:color="CCEEFF"/>
            </w:tcBorders>
            <w:gridSpan w:val="30"/>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6.</w:t>
              </w:r>
              <w:r>
                <w:rPr>
                  <w:rFonts w:ascii="Arial" w:cs="Arial" w:eastAsia="Arial" w:hAnsi="Arial"/>
                  <w:sz w:val="18"/>
                  <w:szCs w:val="18"/>
                  <w:u w:val="single" w:color="auto"/>
                  <w:color w:val="0000EE"/>
                  <w:w w:val="93"/>
                </w:rPr>
                <w:t>2.</w:t>
              </w:r>
            </w:hyperlink>
          </w:p>
        </w:tc>
        <w:tc>
          <w:tcPr>
            <w:tcW w:w="5440" w:type="dxa"/>
            <w:vAlign w:val="bottom"/>
            <w:gridSpan w:val="34"/>
          </w:tcPr>
          <w:p>
            <w:pPr>
              <w:ind w:left="40"/>
              <w:spacing w:after="0"/>
              <w:rPr>
                <w:rFonts w:ascii="Arial" w:cs="Arial" w:eastAsia="Arial" w:hAnsi="Arial"/>
                <w:sz w:val="18"/>
                <w:szCs w:val="18"/>
                <w:color w:val="0000EE"/>
              </w:rPr>
            </w:pPr>
            <w:hyperlink w:anchor="page30">
              <w:r>
                <w:rPr>
                  <w:rFonts w:ascii="Arial" w:cs="Arial" w:eastAsia="Arial" w:hAnsi="Arial"/>
                  <w:sz w:val="18"/>
                  <w:szCs w:val="18"/>
                  <w:color w:val="0000EE"/>
                </w:rPr>
                <w:t>Number</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B-5</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6.</w:t>
              </w:r>
              <w:r>
                <w:rPr>
                  <w:rFonts w:ascii="Arial" w:cs="Arial" w:eastAsia="Arial" w:hAnsi="Arial"/>
                  <w:sz w:val="18"/>
                  <w:szCs w:val="18"/>
                  <w:u w:val="single" w:color="auto"/>
                  <w:color w:val="0000EE"/>
                  <w:w w:val="93"/>
                </w:rPr>
                <w:t>3.</w:t>
              </w:r>
            </w:hyperlink>
          </w:p>
        </w:tc>
        <w:tc>
          <w:tcPr>
            <w:tcW w:w="2420" w:type="dxa"/>
            <w:vAlign w:val="bottom"/>
            <w:tcBorders>
              <w:bottom w:val="single" w:sz="8" w:color="0000EE"/>
            </w:tcBorders>
            <w:gridSpan w:val="24"/>
            <w:shd w:val="clear" w:color="auto" w:fill="CCEEFF"/>
          </w:tcPr>
          <w:p>
            <w:pPr>
              <w:ind w:left="40"/>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Duration and Time for Exercise</w:t>
              </w:r>
            </w:hyperlink>
          </w:p>
        </w:tc>
        <w:tc>
          <w:tcPr>
            <w:tcW w:w="3020" w:type="dxa"/>
            <w:vAlign w:val="bottom"/>
            <w:tcBorders>
              <w:bottom w:val="single" w:sz="8" w:color="CCEEFF"/>
            </w:tcBorders>
            <w:gridSpan w:val="10"/>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6.</w:t>
              </w:r>
              <w:r>
                <w:rPr>
                  <w:rFonts w:ascii="Arial" w:cs="Arial" w:eastAsia="Arial" w:hAnsi="Arial"/>
                  <w:sz w:val="18"/>
                  <w:szCs w:val="18"/>
                  <w:u w:val="single" w:color="auto"/>
                  <w:color w:val="0000EE"/>
                  <w:w w:val="93"/>
                </w:rPr>
                <w:t>4.</w:t>
              </w:r>
            </w:hyperlink>
          </w:p>
        </w:tc>
        <w:tc>
          <w:tcPr>
            <w:tcW w:w="1520" w:type="dxa"/>
            <w:vAlign w:val="bottom"/>
            <w:tcBorders>
              <w:bottom w:val="single" w:sz="8" w:color="0000EE"/>
            </w:tcBorders>
            <w:gridSpan w:val="17"/>
          </w:tcPr>
          <w:p>
            <w:pPr>
              <w:ind w:left="40"/>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Manner of Exercise</w:t>
              </w:r>
            </w:hyperlink>
          </w:p>
        </w:tc>
        <w:tc>
          <w:tcPr>
            <w:tcW w:w="3920" w:type="dxa"/>
            <w:vAlign w:val="bottom"/>
            <w:gridSpan w:val="17"/>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6.</w:t>
              </w:r>
              <w:r>
                <w:rPr>
                  <w:rFonts w:ascii="Arial" w:cs="Arial" w:eastAsia="Arial" w:hAnsi="Arial"/>
                  <w:sz w:val="18"/>
                  <w:szCs w:val="18"/>
                  <w:u w:val="single" w:color="auto"/>
                  <w:color w:val="0000EE"/>
                  <w:w w:val="93"/>
                </w:rPr>
                <w:t>5.</w:t>
              </w:r>
            </w:hyperlink>
          </w:p>
        </w:tc>
        <w:tc>
          <w:tcPr>
            <w:tcW w:w="1860" w:type="dxa"/>
            <w:vAlign w:val="bottom"/>
            <w:tcBorders>
              <w:bottom w:val="single" w:sz="8" w:color="0000EE"/>
            </w:tcBorders>
            <w:gridSpan w:val="22"/>
            <w:shd w:val="clear" w:color="auto" w:fill="CCEEFF"/>
          </w:tcPr>
          <w:p>
            <w:pPr>
              <w:ind w:left="40"/>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Incentive Stock Options</w:t>
              </w:r>
            </w:hyperlink>
          </w:p>
        </w:tc>
        <w:tc>
          <w:tcPr>
            <w:tcW w:w="3580" w:type="dxa"/>
            <w:vAlign w:val="bottom"/>
            <w:tcBorders>
              <w:bottom w:val="single" w:sz="8" w:color="CCEEFF"/>
            </w:tcBorders>
            <w:gridSpan w:val="12"/>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B-5</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7.</w:t>
              </w:r>
            </w:hyperlink>
          </w:p>
        </w:tc>
        <w:tc>
          <w:tcPr>
            <w:tcW w:w="5740" w:type="dxa"/>
            <w:vAlign w:val="bottom"/>
            <w:gridSpan w:val="35"/>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Stock Appreciation Rights</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B-6</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top w:val="single" w:sz="8" w:color="0000EE"/>
              <w:bottom w:val="single" w:sz="8" w:color="CCEEFF"/>
            </w:tcBorders>
            <w:shd w:val="clear" w:color="auto" w:fill="CCEEFF"/>
          </w:tcPr>
          <w:p>
            <w:pPr>
              <w:spacing w:after="0"/>
              <w:rPr>
                <w:sz w:val="21"/>
                <w:szCs w:val="21"/>
                <w:color w:val="auto"/>
              </w:rPr>
            </w:pPr>
          </w:p>
        </w:tc>
        <w:tc>
          <w:tcPr>
            <w:tcW w:w="300" w:type="dxa"/>
            <w:vAlign w:val="bottom"/>
            <w:tcBorders>
              <w:top w:val="single" w:sz="8" w:color="0000EE"/>
              <w:bottom w:val="single" w:sz="8" w:color="0000EE"/>
            </w:tcBorders>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7.</w:t>
              </w:r>
              <w:r>
                <w:rPr>
                  <w:rFonts w:ascii="Arial" w:cs="Arial" w:eastAsia="Arial" w:hAnsi="Arial"/>
                  <w:sz w:val="18"/>
                  <w:szCs w:val="18"/>
                  <w:u w:val="single" w:color="auto"/>
                  <w:color w:val="0000EE"/>
                  <w:w w:val="93"/>
                </w:rPr>
                <w:t>1.</w:t>
              </w:r>
            </w:hyperlink>
          </w:p>
        </w:tc>
        <w:tc>
          <w:tcPr>
            <w:tcW w:w="420" w:type="dxa"/>
            <w:vAlign w:val="bottom"/>
            <w:tcBorders>
              <w:top w:val="single" w:sz="8" w:color="0000EE"/>
              <w:bottom w:val="single" w:sz="8" w:color="0000EE"/>
            </w:tcBorders>
            <w:gridSpan w:val="4"/>
            <w:shd w:val="clear" w:color="auto" w:fill="CCEEFF"/>
          </w:tcPr>
          <w:p>
            <w:pPr>
              <w:ind w:left="40"/>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Price</w:t>
              </w:r>
            </w:hyperlink>
          </w:p>
        </w:tc>
        <w:tc>
          <w:tcPr>
            <w:tcW w:w="1280" w:type="dxa"/>
            <w:vAlign w:val="bottom"/>
            <w:tcBorders>
              <w:top w:val="single" w:sz="8" w:color="0000EE"/>
              <w:bottom w:val="single" w:sz="8" w:color="CCEEFF"/>
            </w:tcBorders>
            <w:gridSpan w:val="16"/>
            <w:shd w:val="clear" w:color="auto" w:fill="CCEEFF"/>
          </w:tcPr>
          <w:p>
            <w:pPr>
              <w:spacing w:after="0"/>
              <w:rPr>
                <w:sz w:val="21"/>
                <w:szCs w:val="21"/>
                <w:color w:val="auto"/>
              </w:rPr>
            </w:pPr>
          </w:p>
        </w:tc>
        <w:tc>
          <w:tcPr>
            <w:tcW w:w="3740" w:type="dxa"/>
            <w:vAlign w:val="bottom"/>
            <w:tcBorders>
              <w:bottom w:val="single" w:sz="8" w:color="CCEEFF"/>
            </w:tcBorders>
            <w:gridSpan w:val="14"/>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0000EE"/>
              <w:bottom w:val="single" w:sz="8" w:color="0000EE"/>
            </w:tcBorders>
            <w:shd w:val="clear" w:color="auto" w:fill="CCEEFF"/>
          </w:tcPr>
          <w:p>
            <w:pPr>
              <w:jc w:val="right"/>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B-6</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7.</w:t>
              </w:r>
              <w:r>
                <w:rPr>
                  <w:rFonts w:ascii="Arial" w:cs="Arial" w:eastAsia="Arial" w:hAnsi="Arial"/>
                  <w:sz w:val="18"/>
                  <w:szCs w:val="18"/>
                  <w:u w:val="single" w:color="auto"/>
                  <w:color w:val="0000EE"/>
                  <w:w w:val="93"/>
                </w:rPr>
                <w:t>2.</w:t>
              </w:r>
            </w:hyperlink>
          </w:p>
        </w:tc>
        <w:tc>
          <w:tcPr>
            <w:tcW w:w="5440" w:type="dxa"/>
            <w:vAlign w:val="bottom"/>
            <w:gridSpan w:val="34"/>
          </w:tcPr>
          <w:p>
            <w:pPr>
              <w:ind w:left="40"/>
              <w:spacing w:after="0"/>
              <w:rPr>
                <w:rFonts w:ascii="Arial" w:cs="Arial" w:eastAsia="Arial" w:hAnsi="Arial"/>
                <w:sz w:val="18"/>
                <w:szCs w:val="18"/>
                <w:color w:val="0000EE"/>
              </w:rPr>
            </w:pPr>
            <w:hyperlink w:anchor="page31">
              <w:r>
                <w:rPr>
                  <w:rFonts w:ascii="Arial" w:cs="Arial" w:eastAsia="Arial" w:hAnsi="Arial"/>
                  <w:sz w:val="18"/>
                  <w:szCs w:val="18"/>
                  <w:color w:val="0000EE"/>
                </w:rPr>
                <w:t>Number</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B-6</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7.</w:t>
              </w:r>
              <w:r>
                <w:rPr>
                  <w:rFonts w:ascii="Arial" w:cs="Arial" w:eastAsia="Arial" w:hAnsi="Arial"/>
                  <w:sz w:val="18"/>
                  <w:szCs w:val="18"/>
                  <w:u w:val="single" w:color="auto"/>
                  <w:color w:val="0000EE"/>
                  <w:w w:val="93"/>
                </w:rPr>
                <w:t>3.</w:t>
              </w:r>
            </w:hyperlink>
          </w:p>
        </w:tc>
        <w:tc>
          <w:tcPr>
            <w:tcW w:w="700" w:type="dxa"/>
            <w:vAlign w:val="bottom"/>
            <w:tcBorders>
              <w:bottom w:val="single" w:sz="8" w:color="0000EE"/>
            </w:tcBorders>
            <w:gridSpan w:val="7"/>
            <w:shd w:val="clear" w:color="auto" w:fill="CCEEFF"/>
          </w:tcPr>
          <w:p>
            <w:pPr>
              <w:ind w:left="40"/>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Duration</w:t>
              </w:r>
            </w:hyperlink>
          </w:p>
        </w:tc>
        <w:tc>
          <w:tcPr>
            <w:tcW w:w="4740" w:type="dxa"/>
            <w:vAlign w:val="bottom"/>
            <w:tcBorders>
              <w:bottom w:val="single" w:sz="8" w:color="CCEEFF"/>
            </w:tcBorders>
            <w:gridSpan w:val="27"/>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B-6</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7.</w:t>
              </w:r>
              <w:r>
                <w:rPr>
                  <w:rFonts w:ascii="Arial" w:cs="Arial" w:eastAsia="Arial" w:hAnsi="Arial"/>
                  <w:sz w:val="18"/>
                  <w:szCs w:val="18"/>
                  <w:u w:val="single" w:color="auto"/>
                  <w:color w:val="0000EE"/>
                  <w:w w:val="93"/>
                </w:rPr>
                <w:t>4.</w:t>
              </w:r>
            </w:hyperlink>
          </w:p>
        </w:tc>
        <w:tc>
          <w:tcPr>
            <w:tcW w:w="680" w:type="dxa"/>
            <w:vAlign w:val="bottom"/>
            <w:tcBorders>
              <w:bottom w:val="single" w:sz="8" w:color="0000EE"/>
            </w:tcBorders>
            <w:gridSpan w:val="6"/>
          </w:tcPr>
          <w:p>
            <w:pPr>
              <w:ind w:left="4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Exercise</w:t>
              </w:r>
            </w:hyperlink>
          </w:p>
        </w:tc>
        <w:tc>
          <w:tcPr>
            <w:tcW w:w="4760" w:type="dxa"/>
            <w:vAlign w:val="bottom"/>
            <w:gridSpan w:val="28"/>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B-6</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7.</w:t>
              </w:r>
              <w:r>
                <w:rPr>
                  <w:rFonts w:ascii="Arial" w:cs="Arial" w:eastAsia="Arial" w:hAnsi="Arial"/>
                  <w:sz w:val="18"/>
                  <w:szCs w:val="18"/>
                  <w:u w:val="single" w:color="auto"/>
                  <w:color w:val="0000EE"/>
                  <w:w w:val="93"/>
                </w:rPr>
                <w:t>5.</w:t>
              </w:r>
            </w:hyperlink>
          </w:p>
        </w:tc>
        <w:tc>
          <w:tcPr>
            <w:tcW w:w="2600" w:type="dxa"/>
            <w:vAlign w:val="bottom"/>
            <w:tcBorders>
              <w:bottom w:val="single" w:sz="8" w:color="0000EE"/>
            </w:tcBorders>
            <w:gridSpan w:val="27"/>
            <w:shd w:val="clear" w:color="auto" w:fill="CCEEFF"/>
          </w:tcPr>
          <w:p>
            <w:pPr>
              <w:ind w:left="40"/>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Issuance of Shares Upon Exercise</w:t>
              </w:r>
            </w:hyperlink>
          </w:p>
        </w:tc>
        <w:tc>
          <w:tcPr>
            <w:tcW w:w="2840" w:type="dxa"/>
            <w:vAlign w:val="bottom"/>
            <w:tcBorders>
              <w:bottom w:val="single" w:sz="8" w:color="CCEEFF"/>
            </w:tcBorders>
            <w:gridSpan w:val="7"/>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0000EE"/>
            </w:tcBorders>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8.</w:t>
              </w:r>
            </w:hyperlink>
          </w:p>
        </w:tc>
        <w:tc>
          <w:tcPr>
            <w:tcW w:w="4460" w:type="dxa"/>
            <w:vAlign w:val="bottom"/>
            <w:tcBorders>
              <w:bottom w:val="single" w:sz="8" w:color="0000EE"/>
            </w:tcBorders>
            <w:gridSpan w:val="31"/>
          </w:tcPr>
          <w:p>
            <w:pPr>
              <w:ind w:left="20"/>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Stock Awards, Restricted Stock and Restricted Stock Units</w:t>
              </w:r>
            </w:hyperlink>
          </w:p>
        </w:tc>
        <w:tc>
          <w:tcPr>
            <w:tcW w:w="1280" w:type="dxa"/>
            <w:vAlign w:val="bottom"/>
            <w:gridSpan w:val="4"/>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8.</w:t>
              </w:r>
              <w:r>
                <w:rPr>
                  <w:rFonts w:ascii="Arial" w:cs="Arial" w:eastAsia="Arial" w:hAnsi="Arial"/>
                  <w:sz w:val="18"/>
                  <w:szCs w:val="18"/>
                  <w:u w:val="single" w:color="auto"/>
                  <w:color w:val="0000EE"/>
                  <w:w w:val="93"/>
                </w:rPr>
                <w:t>1.</w:t>
              </w:r>
            </w:hyperlink>
          </w:p>
        </w:tc>
        <w:tc>
          <w:tcPr>
            <w:tcW w:w="1400" w:type="dxa"/>
            <w:vAlign w:val="bottom"/>
            <w:tcBorders>
              <w:bottom w:val="single" w:sz="8" w:color="0000EE"/>
            </w:tcBorders>
            <w:gridSpan w:val="15"/>
            <w:shd w:val="clear" w:color="auto" w:fill="CCEEFF"/>
          </w:tcPr>
          <w:p>
            <w:pPr>
              <w:ind w:left="40"/>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Number of Shares</w:t>
              </w:r>
            </w:hyperlink>
          </w:p>
        </w:tc>
        <w:tc>
          <w:tcPr>
            <w:tcW w:w="4040" w:type="dxa"/>
            <w:vAlign w:val="bottom"/>
            <w:tcBorders>
              <w:bottom w:val="single" w:sz="8" w:color="CCEEFF"/>
            </w:tcBorders>
            <w:gridSpan w:val="19"/>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8.</w:t>
              </w:r>
              <w:r>
                <w:rPr>
                  <w:rFonts w:ascii="Arial" w:cs="Arial" w:eastAsia="Arial" w:hAnsi="Arial"/>
                  <w:sz w:val="18"/>
                  <w:szCs w:val="18"/>
                  <w:u w:val="single" w:color="auto"/>
                  <w:color w:val="0000EE"/>
                  <w:w w:val="93"/>
                </w:rPr>
                <w:t>2.</w:t>
              </w:r>
            </w:hyperlink>
          </w:p>
        </w:tc>
        <w:tc>
          <w:tcPr>
            <w:tcW w:w="800" w:type="dxa"/>
            <w:vAlign w:val="bottom"/>
            <w:tcBorders>
              <w:bottom w:val="single" w:sz="8" w:color="0000EE"/>
            </w:tcBorders>
            <w:gridSpan w:val="9"/>
          </w:tcPr>
          <w:p>
            <w:pPr>
              <w:ind w:left="40"/>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Sale Price</w:t>
              </w:r>
            </w:hyperlink>
          </w:p>
        </w:tc>
        <w:tc>
          <w:tcPr>
            <w:tcW w:w="4640" w:type="dxa"/>
            <w:vAlign w:val="bottom"/>
            <w:gridSpan w:val="25"/>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8.</w:t>
              </w:r>
              <w:r>
                <w:rPr>
                  <w:rFonts w:ascii="Arial" w:cs="Arial" w:eastAsia="Arial" w:hAnsi="Arial"/>
                  <w:sz w:val="18"/>
                  <w:szCs w:val="18"/>
                  <w:u w:val="single" w:color="auto"/>
                  <w:color w:val="0000EE"/>
                  <w:w w:val="93"/>
                </w:rPr>
                <w:t>3.</w:t>
              </w:r>
            </w:hyperlink>
          </w:p>
        </w:tc>
        <w:tc>
          <w:tcPr>
            <w:tcW w:w="1060" w:type="dxa"/>
            <w:vAlign w:val="bottom"/>
            <w:tcBorders>
              <w:bottom w:val="single" w:sz="8" w:color="0000EE"/>
              <w:right w:val="single" w:sz="8" w:color="CCEEFF"/>
            </w:tcBorders>
            <w:gridSpan w:val="11"/>
            <w:shd w:val="clear" w:color="auto" w:fill="CCEEFF"/>
          </w:tcPr>
          <w:p>
            <w:pPr>
              <w:ind w:left="40"/>
              <w:spacing w:after="0"/>
              <w:rPr>
                <w:rFonts w:ascii="Arial" w:cs="Arial" w:eastAsia="Arial" w:hAnsi="Arial"/>
                <w:sz w:val="18"/>
                <w:szCs w:val="18"/>
                <w:color w:val="0000EE"/>
              </w:rPr>
            </w:pPr>
            <w:hyperlink w:anchor="page32">
              <w:r>
                <w:rPr>
                  <w:rFonts w:ascii="Arial" w:cs="Arial" w:eastAsia="Arial" w:hAnsi="Arial"/>
                  <w:sz w:val="18"/>
                  <w:szCs w:val="18"/>
                  <w:color w:val="0000EE"/>
                </w:rPr>
                <w:t>Restrictions</w:t>
              </w:r>
            </w:hyperlink>
          </w:p>
        </w:tc>
        <w:tc>
          <w:tcPr>
            <w:tcW w:w="4380" w:type="dxa"/>
            <w:vAlign w:val="bottom"/>
            <w:tcBorders>
              <w:bottom w:val="single" w:sz="8" w:color="CCEEFF"/>
            </w:tcBorders>
            <w:gridSpan w:val="23"/>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8.</w:t>
              </w:r>
              <w:r>
                <w:rPr>
                  <w:rFonts w:ascii="Arial" w:cs="Arial" w:eastAsia="Arial" w:hAnsi="Arial"/>
                  <w:sz w:val="18"/>
                  <w:szCs w:val="18"/>
                  <w:u w:val="single" w:color="auto"/>
                  <w:color w:val="0000EE"/>
                  <w:w w:val="93"/>
                </w:rPr>
                <w:t>4.</w:t>
              </w:r>
            </w:hyperlink>
          </w:p>
        </w:tc>
        <w:tc>
          <w:tcPr>
            <w:tcW w:w="2160" w:type="dxa"/>
            <w:vAlign w:val="bottom"/>
            <w:tcBorders>
              <w:bottom w:val="single" w:sz="8" w:color="0000EE"/>
            </w:tcBorders>
            <w:gridSpan w:val="23"/>
          </w:tcPr>
          <w:p>
            <w:pPr>
              <w:ind w:left="40"/>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Enforcement of Restrictions</w:t>
              </w:r>
            </w:hyperlink>
          </w:p>
        </w:tc>
        <w:tc>
          <w:tcPr>
            <w:tcW w:w="3280" w:type="dxa"/>
            <w:vAlign w:val="bottom"/>
            <w:gridSpan w:val="11"/>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B-7</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8.</w:t>
              </w:r>
              <w:r>
                <w:rPr>
                  <w:rFonts w:ascii="Arial" w:cs="Arial" w:eastAsia="Arial" w:hAnsi="Arial"/>
                  <w:sz w:val="18"/>
                  <w:szCs w:val="18"/>
                  <w:u w:val="single" w:color="auto"/>
                  <w:color w:val="0000EE"/>
                  <w:w w:val="93"/>
                </w:rPr>
                <w:t>5.</w:t>
              </w:r>
            </w:hyperlink>
          </w:p>
        </w:tc>
        <w:tc>
          <w:tcPr>
            <w:tcW w:w="1500" w:type="dxa"/>
            <w:vAlign w:val="bottom"/>
            <w:tcBorders>
              <w:bottom w:val="single" w:sz="8" w:color="0000EE"/>
            </w:tcBorders>
            <w:gridSpan w:val="16"/>
            <w:shd w:val="clear" w:color="auto" w:fill="CCEEFF"/>
          </w:tcPr>
          <w:p>
            <w:pPr>
              <w:ind w:left="4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End of Restrictions</w:t>
              </w:r>
            </w:hyperlink>
          </w:p>
        </w:tc>
        <w:tc>
          <w:tcPr>
            <w:tcW w:w="3940" w:type="dxa"/>
            <w:vAlign w:val="bottom"/>
            <w:tcBorders>
              <w:bottom w:val="single" w:sz="8" w:color="CCEEFF"/>
            </w:tcBorders>
            <w:gridSpan w:val="18"/>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0000EE"/>
            </w:tcBorders>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8.</w:t>
              </w:r>
              <w:r>
                <w:rPr>
                  <w:rFonts w:ascii="Arial" w:cs="Arial" w:eastAsia="Arial" w:hAnsi="Arial"/>
                  <w:sz w:val="18"/>
                  <w:szCs w:val="18"/>
                  <w:u w:val="single" w:color="auto"/>
                  <w:color w:val="0000EE"/>
                  <w:w w:val="93"/>
                </w:rPr>
                <w:t>6.</w:t>
              </w:r>
            </w:hyperlink>
          </w:p>
        </w:tc>
        <w:tc>
          <w:tcPr>
            <w:tcW w:w="4940" w:type="dxa"/>
            <w:vAlign w:val="bottom"/>
            <w:tcBorders>
              <w:bottom w:val="single" w:sz="8" w:color="0000EE"/>
            </w:tcBorders>
            <w:gridSpan w:val="32"/>
          </w:tcPr>
          <w:p>
            <w:pPr>
              <w:ind w:left="4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Rights of Holders of Restricted Stock and Restricted Stock Units</w:t>
              </w:r>
            </w:hyperlink>
          </w:p>
        </w:tc>
        <w:tc>
          <w:tcPr>
            <w:tcW w:w="500" w:type="dxa"/>
            <w:vAlign w:val="bottom"/>
            <w:gridSpan w:val="2"/>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8.</w:t>
              </w:r>
              <w:r>
                <w:rPr>
                  <w:rFonts w:ascii="Arial" w:cs="Arial" w:eastAsia="Arial" w:hAnsi="Arial"/>
                  <w:sz w:val="18"/>
                  <w:szCs w:val="18"/>
                  <w:u w:val="single" w:color="auto"/>
                  <w:color w:val="0000EE"/>
                  <w:w w:val="93"/>
                </w:rPr>
                <w:t>7.</w:t>
              </w:r>
            </w:hyperlink>
          </w:p>
        </w:tc>
        <w:tc>
          <w:tcPr>
            <w:tcW w:w="2800" w:type="dxa"/>
            <w:vAlign w:val="bottom"/>
            <w:tcBorders>
              <w:bottom w:val="single" w:sz="8" w:color="0000EE"/>
            </w:tcBorders>
            <w:gridSpan w:val="29"/>
            <w:shd w:val="clear" w:color="auto" w:fill="CCEEFF"/>
          </w:tcPr>
          <w:p>
            <w:pPr>
              <w:ind w:left="4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Settlement of Restricted Stock Units</w:t>
              </w:r>
            </w:hyperlink>
          </w:p>
        </w:tc>
        <w:tc>
          <w:tcPr>
            <w:tcW w:w="2640" w:type="dxa"/>
            <w:vAlign w:val="bottom"/>
            <w:tcBorders>
              <w:bottom w:val="single" w:sz="8" w:color="CCEEFF"/>
            </w:tcBorders>
            <w:gridSpan w:val="5"/>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8.</w:t>
              </w:r>
              <w:r>
                <w:rPr>
                  <w:rFonts w:ascii="Arial" w:cs="Arial" w:eastAsia="Arial" w:hAnsi="Arial"/>
                  <w:sz w:val="18"/>
                  <w:szCs w:val="18"/>
                  <w:u w:val="single" w:color="auto"/>
                  <w:color w:val="0000EE"/>
                  <w:w w:val="93"/>
                </w:rPr>
                <w:t>8.</w:t>
              </w:r>
            </w:hyperlink>
          </w:p>
        </w:tc>
        <w:tc>
          <w:tcPr>
            <w:tcW w:w="5440" w:type="dxa"/>
            <w:vAlign w:val="bottom"/>
            <w:gridSpan w:val="34"/>
          </w:tcPr>
          <w:p>
            <w:pPr>
              <w:ind w:left="40"/>
              <w:spacing w:after="0"/>
              <w:rPr>
                <w:rFonts w:ascii="Arial" w:cs="Arial" w:eastAsia="Arial" w:hAnsi="Arial"/>
                <w:sz w:val="18"/>
                <w:szCs w:val="18"/>
                <w:color w:val="0000EE"/>
              </w:rPr>
            </w:pPr>
            <w:hyperlink w:anchor="page33">
              <w:r>
                <w:rPr>
                  <w:rFonts w:ascii="Arial" w:cs="Arial" w:eastAsia="Arial" w:hAnsi="Arial"/>
                  <w:sz w:val="18"/>
                  <w:szCs w:val="18"/>
                  <w:color w:val="0000EE"/>
                </w:rPr>
                <w:t>Dividend Equivalents</w:t>
              </w:r>
            </w:hyperlink>
          </w:p>
        </w:tc>
        <w:tc>
          <w:tcPr>
            <w:tcW w:w="1920" w:type="dxa"/>
            <w:vAlign w:val="bottom"/>
          </w:tcPr>
          <w:p>
            <w:pPr>
              <w:spacing w:after="0"/>
              <w:rPr>
                <w:sz w:val="21"/>
                <w:szCs w:val="21"/>
                <w:color w:val="auto"/>
              </w:rPr>
            </w:pPr>
          </w:p>
        </w:tc>
        <w:tc>
          <w:tcPr>
            <w:tcW w:w="360" w:type="dxa"/>
            <w:vAlign w:val="bottom"/>
            <w:gridSpan w:val="2"/>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9.</w:t>
              </w:r>
            </w:hyperlink>
          </w:p>
        </w:tc>
        <w:tc>
          <w:tcPr>
            <w:tcW w:w="1580" w:type="dxa"/>
            <w:vAlign w:val="bottom"/>
            <w:tcBorders>
              <w:top w:val="single" w:sz="8" w:color="0000EE"/>
              <w:bottom w:val="single" w:sz="8" w:color="0000EE"/>
            </w:tcBorders>
            <w:gridSpan w:val="15"/>
            <w:shd w:val="clear" w:color="auto" w:fill="CCEEFF"/>
          </w:tcPr>
          <w:p>
            <w:pPr>
              <w:ind w:left="20"/>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Performance Awards</w:t>
              </w:r>
            </w:hyperlink>
          </w:p>
        </w:tc>
        <w:tc>
          <w:tcPr>
            <w:tcW w:w="38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3780" w:type="dxa"/>
            <w:vAlign w:val="bottom"/>
            <w:tcBorders>
              <w:bottom w:val="single" w:sz="8" w:color="CCEEFF"/>
            </w:tcBorders>
            <w:gridSpan w:val="16"/>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0000EE"/>
              <w:bottom w:val="single" w:sz="8" w:color="0000EE"/>
            </w:tcBorders>
            <w:shd w:val="clear" w:color="auto" w:fill="CCEEFF"/>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8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10. General</w:t>
              </w:r>
            </w:hyperlink>
          </w:p>
        </w:tc>
        <w:tc>
          <w:tcPr>
            <w:tcW w:w="5040" w:type="dxa"/>
            <w:vAlign w:val="bottom"/>
            <w:gridSpan w:val="31"/>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w:t>
              </w:r>
            </w:hyperlink>
          </w:p>
        </w:tc>
        <w:tc>
          <w:tcPr>
            <w:tcW w:w="5140" w:type="dxa"/>
            <w:vAlign w:val="bottom"/>
            <w:tcBorders>
              <w:bottom w:val="single" w:sz="8" w:color="0000EE"/>
            </w:tcBorders>
            <w:gridSpan w:val="32"/>
            <w:shd w:val="clear" w:color="auto" w:fill="CCEEFF"/>
          </w:tcPr>
          <w:p>
            <w:pPr>
              <w:ind w:left="20"/>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Plan Effective Date and Shareholder Approval; Termination of Plan</w:t>
              </w:r>
            </w:hyperlink>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B-8</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2.</w:t>
              </w:r>
            </w:hyperlink>
          </w:p>
        </w:tc>
        <w:tc>
          <w:tcPr>
            <w:tcW w:w="700" w:type="dxa"/>
            <w:vAlign w:val="bottom"/>
            <w:tcBorders>
              <w:bottom w:val="single" w:sz="8" w:color="0000EE"/>
            </w:tcBorders>
            <w:gridSpan w:val="8"/>
          </w:tcPr>
          <w:p>
            <w:pPr>
              <w:ind w:left="20"/>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Duration</w:t>
              </w:r>
            </w:hyperlink>
          </w:p>
        </w:tc>
        <w:tc>
          <w:tcPr>
            <w:tcW w:w="4640" w:type="dxa"/>
            <w:vAlign w:val="bottom"/>
            <w:gridSpan w:val="25"/>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3.</w:t>
              </w:r>
            </w:hyperlink>
          </w:p>
        </w:tc>
        <w:tc>
          <w:tcPr>
            <w:tcW w:w="2500" w:type="dxa"/>
            <w:vAlign w:val="bottom"/>
            <w:tcBorders>
              <w:bottom w:val="single" w:sz="8" w:color="0000EE"/>
            </w:tcBorders>
            <w:gridSpan w:val="26"/>
            <w:shd w:val="clear" w:color="auto" w:fill="CCEEFF"/>
          </w:tcPr>
          <w:p>
            <w:pPr>
              <w:ind w:left="20"/>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Non-transferability of Incentives</w:t>
              </w:r>
            </w:hyperlink>
          </w:p>
        </w:tc>
        <w:tc>
          <w:tcPr>
            <w:tcW w:w="2840" w:type="dxa"/>
            <w:vAlign w:val="bottom"/>
            <w:tcBorders>
              <w:bottom w:val="single" w:sz="8" w:color="CCEEFF"/>
            </w:tcBorders>
            <w:gridSpan w:val="7"/>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w:t>
              </w:r>
            </w:hyperlink>
          </w:p>
        </w:tc>
        <w:tc>
          <w:tcPr>
            <w:tcW w:w="2360" w:type="dxa"/>
            <w:vAlign w:val="bottom"/>
            <w:tcBorders>
              <w:bottom w:val="single" w:sz="8" w:color="0000EE"/>
            </w:tcBorders>
            <w:gridSpan w:val="24"/>
          </w:tcPr>
          <w:p>
            <w:pPr>
              <w:ind w:left="20"/>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Effect of Termination or Death</w:t>
              </w:r>
            </w:hyperlink>
          </w:p>
        </w:tc>
        <w:tc>
          <w:tcPr>
            <w:tcW w:w="2980" w:type="dxa"/>
            <w:vAlign w:val="bottom"/>
            <w:gridSpan w:val="9"/>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5.</w:t>
              </w:r>
            </w:hyperlink>
          </w:p>
        </w:tc>
        <w:tc>
          <w:tcPr>
            <w:tcW w:w="2660" w:type="dxa"/>
            <w:vAlign w:val="bottom"/>
            <w:tcBorders>
              <w:bottom w:val="single" w:sz="8" w:color="0000EE"/>
            </w:tcBorders>
            <w:gridSpan w:val="27"/>
            <w:shd w:val="clear" w:color="auto" w:fill="CCEEFF"/>
          </w:tcPr>
          <w:p>
            <w:pPr>
              <w:ind w:left="20"/>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Restrictions under Securities Laws</w:t>
              </w:r>
            </w:hyperlink>
          </w:p>
        </w:tc>
        <w:tc>
          <w:tcPr>
            <w:tcW w:w="2680" w:type="dxa"/>
            <w:vAlign w:val="bottom"/>
            <w:tcBorders>
              <w:bottom w:val="single" w:sz="8" w:color="CCEEFF"/>
            </w:tcBorders>
            <w:gridSpan w:val="6"/>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6.</w:t>
              </w:r>
            </w:hyperlink>
          </w:p>
        </w:tc>
        <w:tc>
          <w:tcPr>
            <w:tcW w:w="960" w:type="dxa"/>
            <w:vAlign w:val="bottom"/>
            <w:tcBorders>
              <w:bottom w:val="single" w:sz="8" w:color="0000EE"/>
            </w:tcBorders>
            <w:gridSpan w:val="10"/>
          </w:tcPr>
          <w:p>
            <w:pPr>
              <w:ind w:left="20"/>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Adjustment</w:t>
              </w:r>
            </w:hyperlink>
          </w:p>
        </w:tc>
        <w:tc>
          <w:tcPr>
            <w:tcW w:w="4380" w:type="dxa"/>
            <w:vAlign w:val="bottom"/>
            <w:gridSpan w:val="23"/>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7.</w:t>
              </w:r>
            </w:hyperlink>
          </w:p>
        </w:tc>
        <w:tc>
          <w:tcPr>
            <w:tcW w:w="2460" w:type="dxa"/>
            <w:vAlign w:val="bottom"/>
            <w:tcBorders>
              <w:bottom w:val="single" w:sz="8" w:color="0000EE"/>
            </w:tcBorders>
            <w:gridSpan w:val="25"/>
            <w:shd w:val="clear" w:color="auto" w:fill="CCEEFF"/>
          </w:tcPr>
          <w:p>
            <w:pPr>
              <w:ind w:left="20"/>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Incentive Plans and Agreements</w:t>
              </w:r>
            </w:hyperlink>
          </w:p>
        </w:tc>
        <w:tc>
          <w:tcPr>
            <w:tcW w:w="2880" w:type="dxa"/>
            <w:vAlign w:val="bottom"/>
            <w:tcBorders>
              <w:bottom w:val="single" w:sz="8" w:color="CCEEFF"/>
            </w:tcBorders>
            <w:gridSpan w:val="8"/>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B-9</w:t>
              </w:r>
            </w:hyperlink>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8.</w:t>
              </w:r>
            </w:hyperlink>
          </w:p>
        </w:tc>
        <w:tc>
          <w:tcPr>
            <w:tcW w:w="5340" w:type="dxa"/>
            <w:vAlign w:val="bottom"/>
            <w:gridSpan w:val="33"/>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Withholding</w:t>
              </w:r>
            </w:hyperlink>
          </w:p>
        </w:tc>
        <w:tc>
          <w:tcPr>
            <w:tcW w:w="22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B-10</w:t>
              </w:r>
            </w:hyperlink>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9.</w:t>
              </w:r>
            </w:hyperlink>
          </w:p>
        </w:tc>
        <w:tc>
          <w:tcPr>
            <w:tcW w:w="5340" w:type="dxa"/>
            <w:vAlign w:val="bottom"/>
            <w:gridSpan w:val="33"/>
            <w:shd w:val="clear" w:color="auto" w:fill="CCEEFF"/>
          </w:tcPr>
          <w:p>
            <w:pPr>
              <w:ind w:left="20"/>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No Continued Employment, Engagement or Right to Corporate Assets</w:t>
              </w:r>
            </w:hyperlink>
          </w:p>
        </w:tc>
        <w:tc>
          <w:tcPr>
            <w:tcW w:w="2280" w:type="dxa"/>
            <w:vAlign w:val="bottom"/>
            <w:gridSpan w:val="3"/>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B-10</w:t>
              </w:r>
            </w:hyperlink>
          </w:p>
        </w:tc>
        <w:tc>
          <w:tcPr>
            <w:tcW w:w="1260" w:type="dxa"/>
            <w:vAlign w:val="bottom"/>
          </w:tcPr>
          <w:p>
            <w:pPr>
              <w:spacing w:after="0"/>
              <w:rPr>
                <w:sz w:val="21"/>
                <w:szCs w:val="21"/>
                <w:color w:val="auto"/>
              </w:rPr>
            </w:pPr>
          </w:p>
        </w:tc>
      </w:tr>
      <w:tr>
        <w:trPr>
          <w:trHeight w:val="614"/>
        </w:trPr>
        <w:tc>
          <w:tcPr>
            <w:tcW w:w="126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40" w:type="dxa"/>
            <w:vAlign w:val="bottom"/>
            <w:tcBorders>
              <w:top w:val="single" w:sz="8" w:color="0000EE"/>
            </w:tcBorders>
            <w:gridSpan w:val="5"/>
          </w:tcPr>
          <w:p>
            <w:pPr>
              <w:ind w:left="660"/>
              <w:spacing w:after="0"/>
              <w:rPr>
                <w:sz w:val="20"/>
                <w:szCs w:val="20"/>
                <w:color w:val="auto"/>
              </w:rPr>
            </w:pPr>
            <w:r>
              <w:rPr>
                <w:rFonts w:ascii="Arial" w:cs="Arial" w:eastAsia="Arial" w:hAnsi="Arial"/>
                <w:sz w:val="18"/>
                <w:szCs w:val="18"/>
                <w:color w:val="auto"/>
              </w:rPr>
              <w:t>B-2</w:t>
            </w:r>
          </w:p>
        </w:tc>
        <w:tc>
          <w:tcPr>
            <w:tcW w:w="19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10.</w:t>
              </w:r>
            </w:hyperlink>
          </w:p>
        </w:tc>
        <w:tc>
          <w:tcPr>
            <w:tcW w:w="4320" w:type="dxa"/>
            <w:vAlign w:val="bottom"/>
            <w:gridSpan w:val="9"/>
            <w:shd w:val="clear" w:color="auto" w:fill="CCEEFF"/>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Payments Under Incentives</w:t>
              </w:r>
            </w:hyperlink>
          </w:p>
        </w:tc>
        <w:tc>
          <w:tcPr>
            <w:tcW w:w="3200" w:type="dxa"/>
            <w:vAlign w:val="bottom"/>
            <w:gridSpan w:val="2"/>
            <w:shd w:val="clear" w:color="auto" w:fill="CCEEFF"/>
          </w:tcPr>
          <w:p>
            <w:pPr>
              <w:ind w:left="284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B-10</w:t>
              </w:r>
            </w:hyperlink>
          </w:p>
        </w:tc>
      </w:tr>
      <w:tr>
        <w:trPr>
          <w:trHeight w:val="27"/>
        </w:trPr>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360" w:type="dxa"/>
            <w:vAlign w:val="bottom"/>
            <w:shd w:val="clear" w:color="auto" w:fill="0000EE"/>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258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Amendment of the Plan</w:t>
              </w:r>
            </w:hyperlink>
          </w:p>
        </w:tc>
        <w:tc>
          <w:tcPr>
            <w:tcW w:w="2240" w:type="dxa"/>
            <w:vAlign w:val="bottom"/>
            <w:gridSpan w:val="5"/>
          </w:tcPr>
          <w:p>
            <w:pPr>
              <w:spacing w:after="0"/>
              <w:rPr>
                <w:sz w:val="18"/>
                <w:szCs w:val="18"/>
                <w:color w:val="auto"/>
              </w:rPr>
            </w:pPr>
          </w:p>
        </w:tc>
        <w:tc>
          <w:tcPr>
            <w:tcW w:w="3200" w:type="dxa"/>
            <w:vAlign w:val="bottom"/>
            <w:gridSpan w:val="2"/>
          </w:tcPr>
          <w:p>
            <w:pPr>
              <w:ind w:left="284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B-10</w:t>
              </w:r>
            </w:hyperlink>
          </w:p>
        </w:tc>
      </w:tr>
      <w:tr>
        <w:trPr>
          <w:trHeight w:val="21"/>
        </w:trPr>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12.</w:t>
              </w:r>
            </w:hyperlink>
          </w:p>
        </w:tc>
        <w:tc>
          <w:tcPr>
            <w:tcW w:w="4320" w:type="dxa"/>
            <w:vAlign w:val="bottom"/>
            <w:gridSpan w:val="9"/>
            <w:shd w:val="clear" w:color="auto" w:fill="CCEEFF"/>
          </w:tcPr>
          <w:p>
            <w:pPr>
              <w:ind w:left="20"/>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Amendment of Agreements for Incentives; No Repricing</w:t>
              </w:r>
            </w:hyperlink>
          </w:p>
        </w:tc>
        <w:tc>
          <w:tcPr>
            <w:tcW w:w="3200" w:type="dxa"/>
            <w:vAlign w:val="bottom"/>
            <w:gridSpan w:val="2"/>
            <w:shd w:val="clear" w:color="auto" w:fill="CCEEFF"/>
          </w:tcPr>
          <w:p>
            <w:pPr>
              <w:ind w:left="284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B-10</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500" w:type="dxa"/>
            <w:vAlign w:val="bottom"/>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13.</w:t>
              </w:r>
            </w:hyperlink>
          </w:p>
        </w:tc>
        <w:tc>
          <w:tcPr>
            <w:tcW w:w="4320" w:type="dxa"/>
            <w:vAlign w:val="bottom"/>
            <w:gridSpan w:val="9"/>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Vesting Upon Change In Control</w:t>
              </w:r>
            </w:hyperlink>
          </w:p>
        </w:tc>
        <w:tc>
          <w:tcPr>
            <w:tcW w:w="3200" w:type="dxa"/>
            <w:vAlign w:val="bottom"/>
            <w:gridSpan w:val="2"/>
          </w:tcPr>
          <w:p>
            <w:pPr>
              <w:ind w:left="284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B-10</w:t>
              </w:r>
            </w:hyperlink>
          </w:p>
        </w:tc>
      </w:tr>
      <w:tr>
        <w:trPr>
          <w:trHeight w:val="21"/>
        </w:trPr>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0000EE"/>
            </w:tcBorders>
            <w:shd w:val="clear" w:color="auto" w:fill="CCEEFF"/>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14.</w:t>
              </w:r>
            </w:hyperlink>
          </w:p>
        </w:tc>
        <w:tc>
          <w:tcPr>
            <w:tcW w:w="2960" w:type="dxa"/>
            <w:vAlign w:val="bottom"/>
            <w:tcBorders>
              <w:bottom w:val="single" w:sz="8" w:color="0000EE"/>
            </w:tcBorders>
            <w:gridSpan w:val="8"/>
            <w:shd w:val="clear" w:color="auto" w:fill="CCEEFF"/>
          </w:tcPr>
          <w:p>
            <w:pPr>
              <w:ind w:left="20"/>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Sale, Merger, Exchange or Liquidation</w:t>
              </w:r>
            </w:hyperlink>
          </w:p>
        </w:tc>
        <w:tc>
          <w:tcPr>
            <w:tcW w:w="13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shd w:val="clear" w:color="auto" w:fill="CCEEFF"/>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B-11</w:t>
              </w:r>
            </w:hyperlink>
          </w:p>
        </w:tc>
      </w:tr>
      <w:tr>
        <w:trPr>
          <w:trHeight w:val="229"/>
        </w:trPr>
        <w:tc>
          <w:tcPr>
            <w:tcW w:w="680" w:type="dxa"/>
            <w:vAlign w:val="bottom"/>
            <w:gridSpan w:val="2"/>
          </w:tcPr>
          <w:p>
            <w:pPr>
              <w:ind w:left="180"/>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15.</w:t>
              </w:r>
            </w:hyperlink>
          </w:p>
        </w:tc>
        <w:tc>
          <w:tcPr>
            <w:tcW w:w="4320" w:type="dxa"/>
            <w:vAlign w:val="bottom"/>
            <w:gridSpan w:val="9"/>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Definition of Fair Market Value</w:t>
              </w:r>
            </w:hyperlink>
          </w:p>
        </w:tc>
        <w:tc>
          <w:tcPr>
            <w:tcW w:w="3200" w:type="dxa"/>
            <w:vAlign w:val="bottom"/>
            <w:gridSpan w:val="2"/>
          </w:tcPr>
          <w:p>
            <w:pPr>
              <w:ind w:left="284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B-12</w:t>
              </w:r>
            </w:hyperlink>
          </w:p>
        </w:tc>
      </w:tr>
      <w:tr>
        <w:trPr>
          <w:trHeight w:val="21"/>
        </w:trPr>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16.</w:t>
              </w:r>
            </w:hyperlink>
          </w:p>
        </w:tc>
        <w:tc>
          <w:tcPr>
            <w:tcW w:w="1880" w:type="dxa"/>
            <w:vAlign w:val="bottom"/>
            <w:gridSpan w:val="3"/>
            <w:shd w:val="clear" w:color="auto" w:fill="CCEEFF"/>
          </w:tcPr>
          <w:p>
            <w:pPr>
              <w:ind w:left="20"/>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Definition of Grant Date</w:t>
              </w:r>
            </w:hyperlink>
          </w:p>
        </w:tc>
        <w:tc>
          <w:tcPr>
            <w:tcW w:w="2440" w:type="dxa"/>
            <w:vAlign w:val="bottom"/>
            <w:gridSpan w:val="6"/>
            <w:shd w:val="clear" w:color="auto" w:fill="CCEEFF"/>
          </w:tcPr>
          <w:p>
            <w:pPr>
              <w:spacing w:after="0"/>
              <w:rPr>
                <w:sz w:val="19"/>
                <w:szCs w:val="19"/>
                <w:color w:val="auto"/>
              </w:rPr>
            </w:pPr>
          </w:p>
        </w:tc>
        <w:tc>
          <w:tcPr>
            <w:tcW w:w="3200" w:type="dxa"/>
            <w:vAlign w:val="bottom"/>
            <w:gridSpan w:val="2"/>
            <w:shd w:val="clear" w:color="auto" w:fill="CCEEFF"/>
          </w:tcPr>
          <w:p>
            <w:pPr>
              <w:ind w:left="284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B-13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500" w:type="dxa"/>
            <w:vAlign w:val="bottom"/>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17.</w:t>
              </w:r>
            </w:hyperlink>
          </w:p>
        </w:tc>
        <w:tc>
          <w:tcPr>
            <w:tcW w:w="4320" w:type="dxa"/>
            <w:vAlign w:val="bottom"/>
            <w:gridSpan w:val="9"/>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Compliance with Code Section 409A</w:t>
              </w:r>
            </w:hyperlink>
          </w:p>
        </w:tc>
        <w:tc>
          <w:tcPr>
            <w:tcW w:w="3200" w:type="dxa"/>
            <w:vAlign w:val="bottom"/>
            <w:gridSpan w:val="2"/>
          </w:tcPr>
          <w:p>
            <w:pPr>
              <w:ind w:left="284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B-13</w:t>
              </w:r>
            </w:hyperlink>
          </w:p>
        </w:tc>
      </w:tr>
      <w:tr>
        <w:trPr>
          <w:trHeight w:val="21"/>
        </w:trPr>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r>
      <w:tr>
        <w:trPr>
          <w:trHeight w:val="229"/>
        </w:trPr>
        <w:tc>
          <w:tcPr>
            <w:tcW w:w="680" w:type="dxa"/>
            <w:vAlign w:val="bottom"/>
            <w:gridSpan w:val="2"/>
            <w:shd w:val="clear" w:color="auto" w:fill="CCEEFF"/>
          </w:tcPr>
          <w:p>
            <w:pPr>
              <w:ind w:left="180"/>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18.</w:t>
              </w:r>
            </w:hyperlink>
          </w:p>
        </w:tc>
        <w:tc>
          <w:tcPr>
            <w:tcW w:w="4320" w:type="dxa"/>
            <w:vAlign w:val="bottom"/>
            <w:gridSpan w:val="9"/>
            <w:shd w:val="clear" w:color="auto" w:fill="CCEEFF"/>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Prior Plan</w:t>
              </w:r>
            </w:hyperlink>
          </w:p>
        </w:tc>
        <w:tc>
          <w:tcPr>
            <w:tcW w:w="3200" w:type="dxa"/>
            <w:vAlign w:val="bottom"/>
            <w:gridSpan w:val="2"/>
            <w:shd w:val="clear" w:color="auto" w:fill="CCEEFF"/>
          </w:tcPr>
          <w:p>
            <w:pPr>
              <w:ind w:left="284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B-14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PREDICTIVE ONCOLOGY INC.</w:t>
      </w:r>
    </w:p>
    <w:p>
      <w:pPr>
        <w:spacing w:after="0" w:line="12"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AMENDED AND RESTATED 2012 STOCK INCENTIVE PLAN</w:t>
      </w:r>
    </w:p>
    <w:p>
      <w:pPr>
        <w:spacing w:after="0" w:line="115" w:lineRule="exact"/>
        <w:rPr>
          <w:sz w:val="20"/>
          <w:szCs w:val="20"/>
          <w:color w:val="auto"/>
        </w:rPr>
      </w:pPr>
    </w:p>
    <w:p>
      <w:pPr>
        <w:ind w:left="1260" w:right="519" w:firstLine="360"/>
        <w:spacing w:after="0" w:line="257" w:lineRule="auto"/>
        <w:tabs>
          <w:tab w:leader="none" w:pos="190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Amended and Restated 2012 Stock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07" w:lineRule="exact"/>
        <w:rPr>
          <w:rFonts w:ascii="Arial" w:cs="Arial" w:eastAsia="Arial" w:hAnsi="Arial"/>
          <w:sz w:val="17"/>
          <w:szCs w:val="17"/>
          <w:color w:val="auto"/>
        </w:rPr>
      </w:pPr>
    </w:p>
    <w:p>
      <w:pPr>
        <w:ind w:left="1260" w:right="439" w:firstLine="360"/>
        <w:spacing w:after="0" w:line="236" w:lineRule="auto"/>
        <w:tabs>
          <w:tab w:leader="none" w:pos="19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(including the regulations promulgated thereunder, the “1934 Act”) (a “Non-Employee Director”), and (b) shall be independent directors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 Notwithstanding the foregoing or anything else to the contrary contained in the Plan, the Company’s Chief Executive Officer or Chief Financial Officer may, on a discretionary basis and without the Committee’s review or approval, grant Stock Options to purchase up to 25,000 shares each to employees of the Company who are not officers of the Company. Such discretionary Stock Option grants shall not exceed 100,000 shares in total in any fiscal year.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126" w:lineRule="exact"/>
        <w:rPr>
          <w:rFonts w:ascii="Arial" w:cs="Arial" w:eastAsia="Arial" w:hAnsi="Arial"/>
          <w:sz w:val="18"/>
          <w:szCs w:val="18"/>
          <w:color w:val="auto"/>
        </w:rPr>
      </w:pPr>
    </w:p>
    <w:p>
      <w:pPr>
        <w:ind w:left="1260" w:right="459" w:firstLine="360"/>
        <w:spacing w:after="0" w:line="238" w:lineRule="auto"/>
        <w:tabs>
          <w:tab w:leader="none" w:pos="19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Eligible Participants</w:t>
      </w:r>
      <w:r>
        <w:rPr>
          <w:rFonts w:ascii="Arial" w:cs="Arial" w:eastAsia="Arial" w:hAnsi="Arial"/>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10" w:lineRule="exact"/>
        <w:rPr>
          <w:rFonts w:ascii="Arial" w:cs="Arial" w:eastAsia="Arial" w:hAnsi="Arial"/>
          <w:sz w:val="18"/>
          <w:szCs w:val="18"/>
          <w:color w:val="auto"/>
        </w:rPr>
      </w:pPr>
    </w:p>
    <w:p>
      <w:pPr>
        <w:ind w:left="1260" w:right="539" w:firstLine="360"/>
        <w:spacing w:after="0" w:line="257" w:lineRule="auto"/>
        <w:tabs>
          <w:tab w:leader="none" w:pos="190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Types of Incentives</w:t>
      </w:r>
      <w:r>
        <w:rPr>
          <w:rFonts w:ascii="Arial" w:cs="Arial" w:eastAsia="Arial" w:hAnsi="Arial"/>
          <w:sz w:val="17"/>
          <w:szCs w:val="17"/>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107" w:lineRule="exact"/>
        <w:rPr>
          <w:rFonts w:ascii="Arial" w:cs="Arial" w:eastAsia="Arial" w:hAnsi="Arial"/>
          <w:sz w:val="17"/>
          <w:szCs w:val="17"/>
          <w:color w:val="auto"/>
        </w:rPr>
      </w:pPr>
    </w:p>
    <w:p>
      <w:pPr>
        <w:ind w:left="1900" w:hanging="280"/>
        <w:spacing w:after="0"/>
        <w:tabs>
          <w:tab w:leader="none" w:pos="1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58" w:lineRule="exact"/>
        <w:rPr>
          <w:sz w:val="20"/>
          <w:szCs w:val="20"/>
          <w:color w:val="auto"/>
        </w:rPr>
      </w:pPr>
    </w:p>
    <w:p>
      <w:pPr>
        <w:ind w:left="1620" w:right="499" w:firstLine="360"/>
        <w:spacing w:after="0" w:line="25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as provided in Section 10.6, the number of shares of Common Stock which may be issued under the Plan shall not exceed 3,250,000 shares of Common Stock. In addition, as of the Effective Date, any shares available in the reserve of the Prior Plan (as defined in Section 10.18) shall be added to the Plan share reserve and be available for issuance under the Plan.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firstLine="360"/>
        <w:spacing w:after="0" w:line="254"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100" w:lineRule="exact"/>
        <w:rPr>
          <w:sz w:val="20"/>
          <w:szCs w:val="20"/>
          <w:color w:val="auto"/>
        </w:rPr>
      </w:pPr>
    </w:p>
    <w:p>
      <w:pPr>
        <w:ind w:left="1620" w:right="1199" w:firstLine="360"/>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Type of Common Stock</w:t>
      </w:r>
      <w:r>
        <w:rPr>
          <w:rFonts w:ascii="Arial" w:cs="Arial" w:eastAsia="Arial" w:hAnsi="Arial"/>
          <w:sz w:val="18"/>
          <w:szCs w:val="18"/>
          <w:color w:val="auto"/>
        </w:rPr>
        <w:t>. Common Stock issued under the Plan in connection with Incentives will be authorized and unissued shares.</w:t>
      </w:r>
    </w:p>
    <w:p>
      <w:pPr>
        <w:spacing w:after="0" w:line="103" w:lineRule="exact"/>
        <w:rPr>
          <w:sz w:val="20"/>
          <w:szCs w:val="20"/>
          <w:color w:val="auto"/>
        </w:rPr>
      </w:pPr>
    </w:p>
    <w:p>
      <w:pPr>
        <w:ind w:left="1620" w:right="419" w:firstLine="360"/>
        <w:spacing w:after="0" w:line="23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Limitation on Awards Granted to Non-Employee Directors</w:t>
      </w:r>
      <w:r>
        <w:rPr>
          <w:rFonts w:ascii="Arial" w:cs="Arial" w:eastAsia="Arial" w:hAnsi="Arial"/>
          <w:sz w:val="18"/>
          <w:szCs w:val="18"/>
          <w:color w:val="auto"/>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to receive an Incentive in lieu of all or a portion of annual and committee retainers and meeting fees.</w:t>
      </w:r>
    </w:p>
    <w:p>
      <w:pPr>
        <w:spacing w:after="0" w:line="126" w:lineRule="exact"/>
        <w:rPr>
          <w:sz w:val="20"/>
          <w:szCs w:val="20"/>
          <w:color w:val="auto"/>
        </w:rPr>
      </w:pPr>
    </w:p>
    <w:p>
      <w:pPr>
        <w:ind w:left="1260" w:right="539" w:firstLine="360"/>
        <w:spacing w:after="0" w:line="248" w:lineRule="auto"/>
        <w:tabs>
          <w:tab w:leader="none" w:pos="19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01" w:lineRule="exact"/>
        <w:rPr>
          <w:sz w:val="20"/>
          <w:szCs w:val="20"/>
          <w:color w:val="auto"/>
        </w:rPr>
      </w:pPr>
    </w:p>
    <w:p>
      <w:pPr>
        <w:ind w:left="1620" w:right="439" w:firstLine="360"/>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Price</w:t>
      </w:r>
      <w:r>
        <w:rPr>
          <w:rFonts w:ascii="Arial" w:cs="Arial" w:eastAsia="Arial" w:hAnsi="Arial"/>
          <w:sz w:val="18"/>
          <w:szCs w:val="18"/>
          <w:color w:val="auto"/>
        </w:rPr>
        <w:t>. The option price per share shall be determined by the Committee, subject to adjustment under Section 10.6. Notwithstanding the foregoing sentence, the option price per share shall not be less than the Fair Market Value (as defined in Section 10.15) of the Common Stock on the Grant Date (as defined in Section 10.16).</w:t>
      </w:r>
    </w:p>
    <w:p>
      <w:pPr>
        <w:spacing w:after="0" w:line="120" w:lineRule="exact"/>
        <w:rPr>
          <w:sz w:val="20"/>
          <w:szCs w:val="20"/>
          <w:color w:val="auto"/>
        </w:rPr>
      </w:pPr>
    </w:p>
    <w:p>
      <w:pPr>
        <w:ind w:left="1620" w:right="479" w:firstLine="360"/>
        <w:spacing w:after="0" w:line="26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Number</w:t>
      </w:r>
      <w:r>
        <w:rPr>
          <w:rFonts w:ascii="Arial" w:cs="Arial" w:eastAsia="Arial" w:hAnsi="Arial"/>
          <w:sz w:val="17"/>
          <w:szCs w:val="17"/>
          <w:color w:val="auto"/>
        </w:rPr>
        <w:t xml:space="preserve"> . The number of shares of Common Stock subject to a stock option shall be determined by the Committee, subject to adjustment as provided in Section 10.6. The number of shares of Common Stock subject to a stock option shall be reduced in the same proportion that the holder thereof exercises an SAR if any SAR is granted in conjunction with or related to the stock option.</w:t>
      </w:r>
    </w:p>
    <w:p>
      <w:pPr>
        <w:spacing w:after="0" w:line="105" w:lineRule="exact"/>
        <w:rPr>
          <w:sz w:val="20"/>
          <w:szCs w:val="20"/>
          <w:color w:val="auto"/>
        </w:rPr>
      </w:pPr>
    </w:p>
    <w:p>
      <w:pPr>
        <w:ind w:left="1620" w:right="519" w:firstLine="360"/>
        <w:spacing w:after="0" w:line="25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Duration and Time for Exercise</w:t>
      </w:r>
      <w:r>
        <w:rPr>
          <w:rFonts w:ascii="Arial" w:cs="Arial" w:eastAsia="Arial" w:hAnsi="Arial"/>
          <w:sz w:val="17"/>
          <w:szCs w:val="17"/>
          <w:color w:val="auto"/>
        </w:rPr>
        <w:t>. Subject to earlier termination as provided in Section 10.3,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10.4.</w:t>
      </w:r>
    </w:p>
    <w:p>
      <w:pPr>
        <w:spacing w:after="0" w:line="94" w:lineRule="exact"/>
        <w:rPr>
          <w:sz w:val="20"/>
          <w:szCs w:val="20"/>
          <w:color w:val="auto"/>
        </w:rPr>
      </w:pPr>
    </w:p>
    <w:p>
      <w:pPr>
        <w:ind w:left="1620" w:right="439" w:firstLine="360"/>
        <w:spacing w:after="0" w:line="252" w:lineRule="auto"/>
        <w:rPr>
          <w:sz w:val="20"/>
          <w:szCs w:val="20"/>
          <w:color w:val="auto"/>
        </w:rPr>
      </w:pPr>
      <w:r>
        <w:rPr>
          <w:rFonts w:ascii="Arial" w:cs="Arial" w:eastAsia="Arial" w:hAnsi="Arial"/>
          <w:sz w:val="17"/>
          <w:szCs w:val="17"/>
          <w:color w:val="auto"/>
        </w:rPr>
        <w:t xml:space="preserve">6. 4. </w:t>
      </w:r>
      <w:r>
        <w:rPr>
          <w:rFonts w:ascii="Arial" w:cs="Arial" w:eastAsia="Arial" w:hAnsi="Arial"/>
          <w:sz w:val="17"/>
          <w:szCs w:val="17"/>
          <w:u w:val="single" w:color="auto"/>
          <w:color w:val="auto"/>
        </w:rPr>
        <w:t>Manner of Exercise</w:t>
      </w:r>
      <w:r>
        <w:rPr>
          <w:rFonts w:ascii="Arial" w:cs="Arial" w:eastAsia="Arial" w:hAnsi="Arial"/>
          <w:sz w:val="17"/>
          <w:szCs w:val="17"/>
          <w:color w:val="auto"/>
        </w:rPr>
        <w:t>. A stock option may be exercised, in whole or in part, by giving written notice to the Company, specifying the number of shares of Common Stock to be purchased and accompanied by the full purchase price for such shares. The option price shall be payable (a) 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10.8,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13" w:lineRule="exact"/>
        <w:rPr>
          <w:sz w:val="20"/>
          <w:szCs w:val="20"/>
          <w:color w:val="auto"/>
        </w:rPr>
      </w:pPr>
    </w:p>
    <w:p>
      <w:pPr>
        <w:ind w:left="1620" w:right="599" w:firstLine="360"/>
        <w:spacing w:after="0" w:line="24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firstLine="360"/>
        <w:spacing w:after="0" w:line="255" w:lineRule="auto"/>
        <w:tabs>
          <w:tab w:leader="none" w:pos="26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98" w:lineRule="exact"/>
        <w:rPr>
          <w:rFonts w:ascii="Arial" w:cs="Arial" w:eastAsia="Arial" w:hAnsi="Arial"/>
          <w:sz w:val="17"/>
          <w:szCs w:val="17"/>
          <w:color w:val="auto"/>
        </w:rPr>
      </w:pPr>
    </w:p>
    <w:p>
      <w:pPr>
        <w:ind w:left="1980" w:right="579" w:firstLine="360"/>
        <w:spacing w:after="0" w:line="270" w:lineRule="auto"/>
        <w:tabs>
          <w:tab w:leader="none" w:pos="26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96" w:lineRule="exact"/>
        <w:rPr>
          <w:rFonts w:ascii="Arial" w:cs="Arial" w:eastAsia="Arial" w:hAnsi="Arial"/>
          <w:sz w:val="17"/>
          <w:szCs w:val="17"/>
          <w:color w:val="auto"/>
        </w:rPr>
      </w:pPr>
    </w:p>
    <w:p>
      <w:pPr>
        <w:ind w:left="1980" w:right="499" w:firstLine="360"/>
        <w:spacing w:after="0" w:line="248" w:lineRule="auto"/>
        <w:tabs>
          <w:tab w:leader="none" w:pos="26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14" w:lineRule="exact"/>
        <w:rPr>
          <w:rFonts w:ascii="Arial" w:cs="Arial" w:eastAsia="Arial" w:hAnsi="Arial"/>
          <w:sz w:val="18"/>
          <w:szCs w:val="18"/>
          <w:color w:val="auto"/>
        </w:rPr>
      </w:pPr>
    </w:p>
    <w:p>
      <w:pPr>
        <w:ind w:left="1980" w:right="559" w:firstLine="360"/>
        <w:spacing w:after="0" w:line="261" w:lineRule="auto"/>
        <w:tabs>
          <w:tab w:leader="none" w:pos="27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sooner exercised, all Incentive Stock Options shall expire no later than ten years after the Grant Date.</w:t>
      </w:r>
    </w:p>
    <w:p>
      <w:pPr>
        <w:spacing w:after="0" w:line="89" w:lineRule="exact"/>
        <w:rPr>
          <w:rFonts w:ascii="Arial" w:cs="Arial" w:eastAsia="Arial" w:hAnsi="Arial"/>
          <w:sz w:val="18"/>
          <w:szCs w:val="18"/>
          <w:color w:val="auto"/>
        </w:rPr>
      </w:pPr>
    </w:p>
    <w:p>
      <w:pPr>
        <w:ind w:left="1980" w:right="479" w:firstLine="360"/>
        <w:spacing w:after="0" w:line="261" w:lineRule="auto"/>
        <w:tabs>
          <w:tab w:leader="none" w:pos="26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option price for Incentive Stock Options shall be not less than the Fair Market Value of the Common Stock subject to the option on the Grant Date.</w:t>
      </w:r>
    </w:p>
    <w:p>
      <w:pPr>
        <w:spacing w:after="0" w:line="103" w:lineRule="exact"/>
        <w:rPr>
          <w:rFonts w:ascii="Arial" w:cs="Arial" w:eastAsia="Arial" w:hAnsi="Arial"/>
          <w:sz w:val="18"/>
          <w:szCs w:val="18"/>
          <w:color w:val="auto"/>
        </w:rPr>
      </w:pPr>
    </w:p>
    <w:p>
      <w:pPr>
        <w:ind w:left="1980" w:right="459" w:firstLine="360"/>
        <w:spacing w:after="0" w:line="257" w:lineRule="auto"/>
        <w:tabs>
          <w:tab w:leader="none" w:pos="26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08" w:lineRule="exact"/>
        <w:rPr>
          <w:sz w:val="20"/>
          <w:szCs w:val="20"/>
          <w:color w:val="auto"/>
        </w:rPr>
      </w:pPr>
    </w:p>
    <w:p>
      <w:pPr>
        <w:ind w:left="1260" w:right="479" w:firstLine="360"/>
        <w:spacing w:after="0" w:line="239" w:lineRule="auto"/>
        <w:tabs>
          <w:tab w:leader="none" w:pos="190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10" w:lineRule="exact"/>
        <w:rPr>
          <w:sz w:val="20"/>
          <w:szCs w:val="20"/>
          <w:color w:val="auto"/>
        </w:rPr>
      </w:pPr>
    </w:p>
    <w:p>
      <w:pPr>
        <w:ind w:left="1620" w:right="559" w:firstLine="36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Price</w:t>
      </w:r>
      <w:r>
        <w:rPr>
          <w:rFonts w:ascii="Arial" w:cs="Arial" w:eastAsia="Arial" w:hAnsi="Arial"/>
          <w:sz w:val="18"/>
          <w:szCs w:val="18"/>
          <w:color w:val="auto"/>
        </w:rPr>
        <w:t>. The exercise price per share of any SAR granted without reference to a stock option shall be determined by the Committee, subject to adjustment under Section 10.6. Notwithstanding the foregoing sentence, the exercise price per share shall not be less than the Fair Market Value of the Common Stock on the Grant Date.</w:t>
      </w:r>
    </w:p>
    <w:p>
      <w:pPr>
        <w:spacing w:after="0" w:line="119" w:lineRule="exact"/>
        <w:rPr>
          <w:sz w:val="20"/>
          <w:szCs w:val="20"/>
          <w:color w:val="auto"/>
        </w:rPr>
      </w:pPr>
    </w:p>
    <w:p>
      <w:pPr>
        <w:ind w:left="1620" w:right="499" w:firstLine="36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Number</w:t>
      </w:r>
      <w:r>
        <w:rPr>
          <w:rFonts w:ascii="Arial" w:cs="Arial" w:eastAsia="Arial" w:hAnsi="Arial"/>
          <w:sz w:val="18"/>
          <w:szCs w:val="18"/>
          <w:color w:val="auto"/>
        </w:rPr>
        <w:t>. Each SAR granted to any participant shall relate to such number of shares of Common Stock as shall be determined by the Committee, subject to adjustment as provided in Section 10.6. In the case of an SAR granted with respect to a stock option, the number of shares of Common Stock to which the SAR relates shall be reduced in the same proportion that the holder of the option exercises the related stock option.</w:t>
      </w:r>
    </w:p>
    <w:p>
      <w:pPr>
        <w:spacing w:after="0" w:line="120" w:lineRule="exact"/>
        <w:rPr>
          <w:sz w:val="20"/>
          <w:szCs w:val="20"/>
          <w:color w:val="auto"/>
        </w:rPr>
      </w:pPr>
    </w:p>
    <w:p>
      <w:pPr>
        <w:ind w:left="1620" w:right="539" w:firstLine="360"/>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Duration</w:t>
      </w:r>
      <w:r>
        <w:rPr>
          <w:rFonts w:ascii="Arial" w:cs="Arial" w:eastAsia="Arial" w:hAnsi="Arial"/>
          <w:sz w:val="18"/>
          <w:szCs w:val="18"/>
          <w:color w:val="auto"/>
        </w:rPr>
        <w:t>. Subject to earlier termination as provided in Section 10.3,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10.4.</w:t>
      </w:r>
    </w:p>
    <w:p>
      <w:pPr>
        <w:spacing w:after="0" w:line="114" w:lineRule="exact"/>
        <w:rPr>
          <w:sz w:val="20"/>
          <w:szCs w:val="20"/>
          <w:color w:val="auto"/>
        </w:rPr>
      </w:pPr>
    </w:p>
    <w:p>
      <w:pPr>
        <w:ind w:left="1620" w:right="659" w:firstLine="360"/>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Exercise</w:t>
      </w:r>
      <w:r>
        <w:rPr>
          <w:rFonts w:ascii="Arial" w:cs="Arial" w:eastAsia="Arial" w:hAnsi="Arial"/>
          <w:sz w:val="17"/>
          <w:szCs w:val="17"/>
          <w:color w:val="auto"/>
        </w:rPr>
        <w:t>. An SAR may be exercised, in whole or in part, by giving written notice to the Company, specifying the number of SARs which the holder wishes to exercise. Upon receipt of such</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48" w:lineRule="auto"/>
        <w:rPr>
          <w:sz w:val="20"/>
          <w:szCs w:val="20"/>
          <w:color w:val="auto"/>
        </w:rPr>
      </w:pPr>
      <w:r>
        <w:rPr>
          <w:rFonts w:ascii="Arial" w:cs="Arial" w:eastAsia="Arial" w:hAnsi="Arial"/>
          <w:sz w:val="18"/>
          <w:szCs w:val="18"/>
          <w:color w:val="auto"/>
        </w:rPr>
        <w:t>written notice, the Company shall, within 90 days thereafter, deliver to the exercising holder certificates for the shares of Common Stock or cash or both, as determined by the Committee, to which the holder is entitled pursuant to Section 7.5.</w:t>
      </w:r>
    </w:p>
    <w:p>
      <w:pPr>
        <w:spacing w:after="0" w:line="101" w:lineRule="exact"/>
        <w:rPr>
          <w:sz w:val="20"/>
          <w:szCs w:val="20"/>
          <w:color w:val="auto"/>
        </w:rPr>
      </w:pPr>
    </w:p>
    <w:p>
      <w:pPr>
        <w:ind w:left="1620" w:right="519" w:firstLine="360"/>
        <w:spacing w:after="0" w:line="26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Issuance of Shares Upon Exercise</w:t>
      </w:r>
      <w:r>
        <w:rPr>
          <w:rFonts w:ascii="Arial" w:cs="Arial" w:eastAsia="Arial" w:hAnsi="Arial"/>
          <w:sz w:val="18"/>
          <w:szCs w:val="18"/>
          <w:color w:val="auto"/>
        </w:rPr>
        <w:t>. The number of shares of Common Stock which shall be issuable upon the exercise of an SAR shall be determined by dividing:</w:t>
      </w:r>
    </w:p>
    <w:p>
      <w:pPr>
        <w:spacing w:after="0" w:line="103" w:lineRule="exact"/>
        <w:rPr>
          <w:sz w:val="20"/>
          <w:szCs w:val="20"/>
          <w:color w:val="auto"/>
        </w:rPr>
      </w:pPr>
    </w:p>
    <w:p>
      <w:pPr>
        <w:ind w:left="1980" w:right="499" w:firstLine="360"/>
        <w:spacing w:after="0" w:line="255" w:lineRule="auto"/>
        <w:tabs>
          <w:tab w:leader="none" w:pos="26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10.6); by</w:t>
      </w:r>
    </w:p>
    <w:p>
      <w:pPr>
        <w:spacing w:after="0" w:line="112" w:lineRule="exact"/>
        <w:rPr>
          <w:rFonts w:ascii="Arial" w:cs="Arial" w:eastAsia="Arial" w:hAnsi="Arial"/>
          <w:sz w:val="17"/>
          <w:szCs w:val="17"/>
          <w:color w:val="auto"/>
        </w:rPr>
      </w:pPr>
    </w:p>
    <w:p>
      <w:pPr>
        <w:ind w:left="2700" w:hanging="360"/>
        <w:spacing w:after="0"/>
        <w:tabs>
          <w:tab w:leader="none" w:pos="2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Fair Market Value of a share of Common Stock on the exercise date.</w:t>
      </w:r>
    </w:p>
    <w:p>
      <w:pPr>
        <w:spacing w:after="0" w:line="144" w:lineRule="exact"/>
        <w:rPr>
          <w:sz w:val="20"/>
          <w:szCs w:val="20"/>
          <w:color w:val="auto"/>
        </w:rPr>
      </w:pPr>
    </w:p>
    <w:p>
      <w:pPr>
        <w:jc w:val="both"/>
        <w:ind w:left="1260" w:right="419" w:firstLine="360"/>
        <w:spacing w:after="0" w:line="243" w:lineRule="auto"/>
        <w:rPr>
          <w:sz w:val="20"/>
          <w:szCs w:val="20"/>
          <w:color w:val="auto"/>
        </w:rPr>
      </w:pPr>
      <w:r>
        <w:rPr>
          <w:rFonts w:ascii="Arial" w:cs="Arial" w:eastAsia="Arial" w:hAnsi="Arial"/>
          <w:sz w:val="18"/>
          <w:szCs w:val="18"/>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20" w:lineRule="exact"/>
        <w:rPr>
          <w:sz w:val="20"/>
          <w:szCs w:val="20"/>
          <w:color w:val="auto"/>
        </w:rPr>
      </w:pPr>
    </w:p>
    <w:p>
      <w:pPr>
        <w:ind w:left="1620" w:right="419" w:firstLine="360"/>
        <w:spacing w:after="0" w:line="254" w:lineRule="auto"/>
        <w:tabs>
          <w:tab w:leader="none" w:pos="226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Stock Awards, Restricted Stock and Restricted Stock Units</w:t>
      </w:r>
      <w:r>
        <w:rPr>
          <w:rFonts w:ascii="Arial" w:cs="Arial" w:eastAsia="Arial" w:hAnsi="Arial"/>
          <w:sz w:val="17"/>
          <w:szCs w:val="17"/>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113" w:lineRule="exact"/>
        <w:rPr>
          <w:sz w:val="20"/>
          <w:szCs w:val="20"/>
          <w:color w:val="auto"/>
        </w:rPr>
      </w:pPr>
    </w:p>
    <w:p>
      <w:pPr>
        <w:ind w:left="1620" w:right="539" w:firstLine="360"/>
        <w:spacing w:after="0" w:line="24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01" w:lineRule="exact"/>
        <w:rPr>
          <w:sz w:val="20"/>
          <w:szCs w:val="20"/>
          <w:color w:val="auto"/>
        </w:rPr>
      </w:pPr>
    </w:p>
    <w:p>
      <w:pPr>
        <w:ind w:left="1620" w:right="699" w:firstLine="360"/>
        <w:spacing w:after="0" w:line="270"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Sale Price</w:t>
      </w:r>
      <w:r>
        <w:rPr>
          <w:rFonts w:ascii="Arial" w:cs="Arial" w:eastAsia="Arial" w:hAnsi="Arial"/>
          <w:sz w:val="17"/>
          <w:szCs w:val="17"/>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96" w:lineRule="exact"/>
        <w:rPr>
          <w:sz w:val="20"/>
          <w:szCs w:val="20"/>
          <w:color w:val="auto"/>
        </w:rPr>
      </w:pPr>
    </w:p>
    <w:p>
      <w:pPr>
        <w:jc w:val="both"/>
        <w:ind w:left="1620" w:right="619" w:firstLine="360"/>
        <w:spacing w:after="0" w:line="24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14" w:lineRule="exact"/>
        <w:rPr>
          <w:sz w:val="20"/>
          <w:szCs w:val="20"/>
          <w:color w:val="auto"/>
        </w:rPr>
      </w:pPr>
    </w:p>
    <w:p>
      <w:pPr>
        <w:ind w:left="1980" w:right="539" w:firstLine="360"/>
        <w:spacing w:after="0" w:line="241" w:lineRule="auto"/>
        <w:tabs>
          <w:tab w:leader="none" w:pos="26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08" w:lineRule="exact"/>
        <w:rPr>
          <w:rFonts w:ascii="Arial" w:cs="Arial" w:eastAsia="Arial" w:hAnsi="Arial"/>
          <w:sz w:val="18"/>
          <w:szCs w:val="18"/>
          <w:color w:val="auto"/>
        </w:rPr>
      </w:pPr>
    </w:p>
    <w:p>
      <w:pPr>
        <w:ind w:left="1980" w:right="459" w:firstLine="360"/>
        <w:spacing w:after="0" w:line="241" w:lineRule="auto"/>
        <w:tabs>
          <w:tab w:leader="none" w:pos="27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21" w:lineRule="exact"/>
        <w:rPr>
          <w:rFonts w:ascii="Arial" w:cs="Arial" w:eastAsia="Arial" w:hAnsi="Arial"/>
          <w:sz w:val="18"/>
          <w:szCs w:val="18"/>
          <w:color w:val="auto"/>
        </w:rPr>
      </w:pPr>
    </w:p>
    <w:p>
      <w:pPr>
        <w:ind w:left="2700" w:hanging="360"/>
        <w:spacing w:after="0"/>
        <w:tabs>
          <w:tab w:leader="none" w:pos="2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other conditions or restrictions as the Committee may deem advisable.</w:t>
      </w:r>
    </w:p>
    <w:p>
      <w:pPr>
        <w:spacing w:after="0" w:line="158" w:lineRule="exact"/>
        <w:rPr>
          <w:sz w:val="20"/>
          <w:szCs w:val="20"/>
          <w:color w:val="auto"/>
        </w:rPr>
      </w:pPr>
    </w:p>
    <w:p>
      <w:pPr>
        <w:ind w:left="1620" w:right="459" w:firstLine="360"/>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Enforcement of Restrictions</w:t>
      </w:r>
      <w:r>
        <w:rPr>
          <w:rFonts w:ascii="Arial" w:cs="Arial" w:eastAsia="Arial" w:hAnsi="Arial"/>
          <w:sz w:val="17"/>
          <w:szCs w:val="17"/>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57" w:lineRule="auto"/>
        <w:rPr>
          <w:sz w:val="20"/>
          <w:szCs w:val="20"/>
          <w:color w:val="auto"/>
        </w:rPr>
      </w:pPr>
      <w:r>
        <w:rPr>
          <w:rFonts w:ascii="Arial" w:cs="Arial" w:eastAsia="Arial" w:hAnsi="Arial"/>
          <w:sz w:val="18"/>
          <w:szCs w:val="18"/>
          <w:color w:val="auto"/>
        </w:rPr>
        <w:t>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07" w:lineRule="exact"/>
        <w:rPr>
          <w:sz w:val="20"/>
          <w:szCs w:val="20"/>
          <w:color w:val="auto"/>
        </w:rPr>
      </w:pPr>
    </w:p>
    <w:p>
      <w:pPr>
        <w:ind w:left="1620" w:right="479" w:firstLine="360"/>
        <w:spacing w:after="0" w:line="25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End of Restrictions</w:t>
      </w:r>
      <w:r>
        <w:rPr>
          <w:rFonts w:ascii="Arial" w:cs="Arial" w:eastAsia="Arial" w:hAnsi="Arial"/>
          <w:sz w:val="18"/>
          <w:szCs w:val="18"/>
          <w:color w:val="auto"/>
        </w:rPr>
        <w:t>. Subject to Section 10.5,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10.5,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27" w:lineRule="exact"/>
        <w:rPr>
          <w:sz w:val="20"/>
          <w:szCs w:val="20"/>
          <w:color w:val="auto"/>
        </w:rPr>
      </w:pPr>
    </w:p>
    <w:p>
      <w:pPr>
        <w:ind w:left="1620" w:right="559" w:firstLine="360"/>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Rights of Holders of Restricted Stock and Restricted Stock Units</w:t>
      </w:r>
      <w:r>
        <w:rPr>
          <w:rFonts w:ascii="Arial" w:cs="Arial" w:eastAsia="Arial" w:hAnsi="Arial"/>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27" w:lineRule="exact"/>
        <w:rPr>
          <w:sz w:val="20"/>
          <w:szCs w:val="20"/>
          <w:color w:val="auto"/>
        </w:rPr>
      </w:pPr>
    </w:p>
    <w:p>
      <w:pPr>
        <w:ind w:left="1620" w:right="499" w:firstLine="360"/>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06" w:lineRule="exact"/>
        <w:rPr>
          <w:sz w:val="20"/>
          <w:szCs w:val="20"/>
          <w:color w:val="auto"/>
        </w:rPr>
      </w:pPr>
    </w:p>
    <w:p>
      <w:pPr>
        <w:ind w:left="1620" w:right="419" w:firstLine="360"/>
        <w:spacing w:after="0" w:line="25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127" w:lineRule="exact"/>
        <w:rPr>
          <w:sz w:val="20"/>
          <w:szCs w:val="20"/>
          <w:color w:val="auto"/>
        </w:rPr>
      </w:pPr>
    </w:p>
    <w:p>
      <w:pPr>
        <w:ind w:left="1260" w:right="459" w:firstLine="360"/>
        <w:spacing w:after="0" w:line="255" w:lineRule="auto"/>
        <w:tabs>
          <w:tab w:leader="none" w:pos="190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24" w:lineRule="exact"/>
        <w:rPr>
          <w:rFonts w:ascii="Arial" w:cs="Arial" w:eastAsia="Arial" w:hAnsi="Arial"/>
          <w:sz w:val="18"/>
          <w:szCs w:val="18"/>
          <w:color w:val="auto"/>
        </w:rPr>
      </w:pPr>
    </w:p>
    <w:p>
      <w:pPr>
        <w:ind w:left="2000" w:hanging="380"/>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44" w:lineRule="exact"/>
        <w:rPr>
          <w:sz w:val="20"/>
          <w:szCs w:val="20"/>
          <w:color w:val="auto"/>
        </w:rPr>
      </w:pPr>
    </w:p>
    <w:p>
      <w:pPr>
        <w:ind w:left="1620" w:right="419" w:firstLine="360"/>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Plan Effective Date and Shareholder Approval; Termination of Plan</w:t>
      </w:r>
      <w:r>
        <w:rPr>
          <w:rFonts w:ascii="Arial" w:cs="Arial" w:eastAsia="Arial" w:hAnsi="Arial"/>
          <w:sz w:val="17"/>
          <w:szCs w:val="17"/>
          <w:color w:val="auto"/>
        </w:rPr>
        <w:t>. The Plan shall become effective on the Effective Date, subject to subsequent approval within twelve (12) months of its adoption by the Board by shareholders of the Company eligible to vote in the election of directors, by a vote sufficient to meet the requirements of Code Section 422, Rule 16b-3 under the Exchange Act (if applicable), applicable requirements of any stock exchange, if any, and other laws, regulations, and obligations of the Company applicable to the Plan. Awards may be granted subject to shareholder approval, but may not be exercised or otherwise settled in the event shareholder approval is not obtained. The Plan shall terminate no later than ten (10) years from the date of the later of (x) the Effective Date and (y) the date an increase in the number of shares reserved for issuance under the Plan is approved by the Board (so long as such increase is also approved by the shareholders).</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firstLine="3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Duration</w:t>
      </w:r>
      <w:r>
        <w:rPr>
          <w:rFonts w:ascii="Arial" w:cs="Arial" w:eastAsia="Arial" w:hAnsi="Arial"/>
          <w:sz w:val="18"/>
          <w:szCs w:val="18"/>
          <w:color w:val="auto"/>
        </w:rPr>
        <w:t xml:space="preserve"> . The Plan shall remain in effect until all Incentives granted under the Plan have either been satisfied by the issuance of shares of Common Stock or the payment of cash or been terminated under the terms of the Plan and all restrictions imposed on shares of Common Stock in connection with their issuance under the Plan have lapsed. No Incentives may be granted under the Plan after the latest date of termination of the Plan as such date may be extended pursuant to Section 10.1.</w:t>
      </w:r>
    </w:p>
    <w:p>
      <w:pPr>
        <w:spacing w:after="0" w:line="108" w:lineRule="exact"/>
        <w:rPr>
          <w:sz w:val="20"/>
          <w:szCs w:val="20"/>
          <w:color w:val="auto"/>
        </w:rPr>
      </w:pPr>
    </w:p>
    <w:p>
      <w:pPr>
        <w:ind w:left="1980"/>
        <w:spacing w:after="0"/>
        <w:tabs>
          <w:tab w:leader="none" w:pos="2480" w:val="left"/>
          <w:tab w:leader="none" w:pos="5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Non-transferability of Incentives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 stock option, SAR, restricted stock or stock award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may be transferred, pledged or assigned by the holder thereof (except, in the event of the holder’s</w:t>
      </w:r>
    </w:p>
    <w:p>
      <w:pPr>
        <w:ind w:left="1620"/>
        <w:spacing w:after="0"/>
        <w:rPr>
          <w:sz w:val="20"/>
          <w:szCs w:val="20"/>
          <w:color w:val="auto"/>
        </w:rPr>
      </w:pPr>
      <w:r>
        <w:rPr>
          <w:rFonts w:ascii="Arial" w:cs="Arial" w:eastAsia="Arial" w:hAnsi="Arial"/>
          <w:sz w:val="17"/>
          <w:szCs w:val="17"/>
          <w:color w:val="auto"/>
        </w:rPr>
        <w:t>death, by will or the laws of descent and distribution to the limited extent provided in the Plan or the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Incentive, or pursuant to a qualified domestic relations order as defined by the Code or Title I of the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Employee Retirement Income Security Act, or the rules thereunder), and the Company shall not be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required to recognize any attempted assignment of such rights by any participant. Notwithstanding the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preceding sentence, stock options (other than stock options intended to qualify as Incentive Stock</w:t>
      </w:r>
    </w:p>
    <w:p>
      <w:pPr>
        <w:ind w:left="1620"/>
        <w:spacing w:after="0" w:line="234" w:lineRule="auto"/>
        <w:rPr>
          <w:sz w:val="20"/>
          <w:szCs w:val="20"/>
          <w:color w:val="auto"/>
        </w:rPr>
      </w:pPr>
      <w:r>
        <w:rPr>
          <w:rFonts w:ascii="Arial" w:cs="Arial" w:eastAsia="Arial" w:hAnsi="Arial"/>
          <w:sz w:val="18"/>
          <w:szCs w:val="18"/>
          <w:color w:val="auto"/>
        </w:rPr>
        <w:t>Options pursuant to Section 6.5) may be transferred by the holder thereof to the holder’s spouse,</w:t>
      </w:r>
    </w:p>
    <w:p>
      <w:pPr>
        <w:ind w:left="1620"/>
        <w:spacing w:after="0" w:line="235" w:lineRule="auto"/>
        <w:rPr>
          <w:sz w:val="20"/>
          <w:szCs w:val="20"/>
          <w:color w:val="auto"/>
        </w:rPr>
      </w:pPr>
      <w:r>
        <w:rPr>
          <w:rFonts w:ascii="Arial" w:cs="Arial" w:eastAsia="Arial" w:hAnsi="Arial"/>
          <w:sz w:val="18"/>
          <w:szCs w:val="18"/>
          <w:color w:val="auto"/>
        </w:rPr>
        <w:t>children, grandchildren or parents (collectively, the “Family Members”), to trusts for the benefit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Family Members, to partnerships or limited liability companies in which Family Members are the only</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partners or shareholders, or to entities exempt from federal income taxation pursuant to Code</w:t>
      </w:r>
    </w:p>
    <w:p>
      <w:pPr>
        <w:ind w:left="1620"/>
        <w:spacing w:after="0"/>
        <w:rPr>
          <w:sz w:val="20"/>
          <w:szCs w:val="20"/>
          <w:color w:val="auto"/>
        </w:rPr>
      </w:pPr>
      <w:r>
        <w:rPr>
          <w:rFonts w:ascii="Arial" w:cs="Arial" w:eastAsia="Arial" w:hAnsi="Arial"/>
          <w:sz w:val="17"/>
          <w:szCs w:val="17"/>
          <w:color w:val="auto"/>
        </w:rPr>
        <w:t>Section 501(c)(3). During a participant’s lifetime, a stock option may be exercised only by him or her,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his or her guardian or legal representative or by the transferees permitted by this Section 10.3.</w:t>
      </w:r>
    </w:p>
    <w:p>
      <w:pPr>
        <w:spacing w:after="0" w:line="128" w:lineRule="exact"/>
        <w:rPr>
          <w:sz w:val="20"/>
          <w:szCs w:val="20"/>
          <w:color w:val="auto"/>
        </w:rPr>
      </w:pPr>
    </w:p>
    <w:p>
      <w:pPr>
        <w:ind w:left="1620" w:right="539" w:firstLine="360"/>
        <w:spacing w:after="0" w:line="254"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Effect of Termination or Death</w:t>
      </w:r>
      <w:r>
        <w:rPr>
          <w:rFonts w:ascii="Arial" w:cs="Arial" w:eastAsia="Arial" w:hAnsi="Arial"/>
          <w:sz w:val="17"/>
          <w:szCs w:val="17"/>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13" w:lineRule="exact"/>
        <w:rPr>
          <w:sz w:val="20"/>
          <w:szCs w:val="20"/>
          <w:color w:val="auto"/>
        </w:rPr>
      </w:pPr>
    </w:p>
    <w:p>
      <w:pPr>
        <w:ind w:left="1980"/>
        <w:spacing w:after="0"/>
        <w:tabs>
          <w:tab w:leader="none" w:pos="2480" w:val="left"/>
          <w:tab w:leader="none" w:pos="53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Restrictions under Securities Laws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Notwithstanding anything in this Plan to the contrary:</w:t>
      </w:r>
    </w:p>
    <w:p>
      <w:pPr>
        <w:spacing w:after="0" w:line="12" w:lineRule="exact"/>
        <w:rPr>
          <w:sz w:val="20"/>
          <w:szCs w:val="20"/>
          <w:color w:val="auto"/>
        </w:rPr>
      </w:pPr>
    </w:p>
    <w:p>
      <w:pPr>
        <w:ind w:left="1620" w:right="419"/>
        <w:spacing w:after="0" w:line="250" w:lineRule="auto"/>
        <w:tabs>
          <w:tab w:leader="none" w:pos="187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02" w:lineRule="exact"/>
        <w:rPr>
          <w:sz w:val="20"/>
          <w:szCs w:val="20"/>
          <w:color w:val="auto"/>
        </w:rPr>
      </w:pPr>
    </w:p>
    <w:p>
      <w:pPr>
        <w:ind w:left="1620" w:right="419" w:firstLine="360"/>
        <w:spacing w:after="0" w:line="254"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Adjustment</w:t>
      </w:r>
      <w:r>
        <w:rPr>
          <w:rFonts w:ascii="Arial" w:cs="Arial" w:eastAsia="Arial" w:hAnsi="Arial"/>
          <w:sz w:val="17"/>
          <w:szCs w:val="17"/>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13" w:lineRule="exact"/>
        <w:rPr>
          <w:sz w:val="20"/>
          <w:szCs w:val="20"/>
          <w:color w:val="auto"/>
        </w:rPr>
      </w:pPr>
    </w:p>
    <w:p>
      <w:pPr>
        <w:ind w:left="1620" w:right="559" w:firstLine="360"/>
        <w:spacing w:after="0" w:line="270"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Incentive Plans and Agreements</w:t>
      </w:r>
      <w:r>
        <w:rPr>
          <w:rFonts w:ascii="Arial" w:cs="Arial" w:eastAsia="Arial" w:hAnsi="Arial"/>
          <w:sz w:val="17"/>
          <w:szCs w:val="17"/>
          <w:color w:val="auto"/>
        </w:rPr>
        <w:t>. Except in the case of stock awards, the terms of each Incentive shall be stated in a plan or agreement approved by the Committee. The Committee may also determine to enter into agreements with holders of options to reclassify or convert certain outstanding</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59"/>
        <w:spacing w:after="0" w:line="243" w:lineRule="auto"/>
        <w:rPr>
          <w:sz w:val="20"/>
          <w:szCs w:val="20"/>
          <w:color w:val="auto"/>
        </w:rPr>
      </w:pPr>
      <w:r>
        <w:rPr>
          <w:rFonts w:ascii="Arial" w:cs="Arial" w:eastAsia="Arial" w:hAnsi="Arial"/>
          <w:sz w:val="18"/>
          <w:szCs w:val="18"/>
          <w:color w:val="auto"/>
        </w:rPr>
        <w:t>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107" w:lineRule="exact"/>
        <w:rPr>
          <w:sz w:val="20"/>
          <w:szCs w:val="20"/>
          <w:color w:val="auto"/>
        </w:rPr>
      </w:pPr>
    </w:p>
    <w:p>
      <w:pPr>
        <w:ind w:left="1980"/>
        <w:spacing w:after="0"/>
        <w:tabs>
          <w:tab w:leader="none" w:pos="2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58" w:lineRule="exact"/>
        <w:rPr>
          <w:sz w:val="20"/>
          <w:szCs w:val="20"/>
          <w:color w:val="auto"/>
        </w:rPr>
      </w:pPr>
    </w:p>
    <w:p>
      <w:pPr>
        <w:ind w:left="1980" w:right="419" w:firstLine="360"/>
        <w:spacing w:after="0" w:line="252" w:lineRule="auto"/>
        <w:tabs>
          <w:tab w:leader="none" w:pos="26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18" w:lineRule="exact"/>
        <w:rPr>
          <w:rFonts w:ascii="Arial" w:cs="Arial" w:eastAsia="Arial" w:hAnsi="Arial"/>
          <w:sz w:val="17"/>
          <w:szCs w:val="17"/>
          <w:color w:val="auto"/>
        </w:rPr>
      </w:pPr>
    </w:p>
    <w:p>
      <w:pPr>
        <w:jc w:val="both"/>
        <w:ind w:left="1980" w:right="419" w:firstLine="360"/>
        <w:spacing w:after="0" w:line="243" w:lineRule="auto"/>
        <w:tabs>
          <w:tab w:leader="none" w:pos="27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07" w:lineRule="exact"/>
        <w:rPr>
          <w:sz w:val="20"/>
          <w:szCs w:val="20"/>
          <w:color w:val="auto"/>
        </w:rPr>
      </w:pPr>
    </w:p>
    <w:p>
      <w:pPr>
        <w:ind w:left="1620" w:right="459" w:firstLine="360"/>
        <w:spacing w:after="0" w:line="23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 Continued Employment, Engagement or Right to Corporate Assets</w:t>
      </w:r>
      <w:r>
        <w:rPr>
          <w:rFonts w:ascii="Arial" w:cs="Arial" w:eastAsia="Arial" w:hAnsi="Arial"/>
          <w:sz w:val="18"/>
          <w:szCs w:val="18"/>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23" w:lineRule="exact"/>
        <w:rPr>
          <w:sz w:val="20"/>
          <w:szCs w:val="20"/>
          <w:color w:val="auto"/>
        </w:rPr>
      </w:pPr>
    </w:p>
    <w:p>
      <w:pPr>
        <w:ind w:left="1620" w:right="519" w:firstLine="360"/>
        <w:spacing w:after="0" w:line="262"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Payments Under Incentives</w:t>
      </w:r>
      <w:r>
        <w:rPr>
          <w:rFonts w:ascii="Arial" w:cs="Arial" w:eastAsia="Arial" w:hAnsi="Arial"/>
          <w:sz w:val="17"/>
          <w:szCs w:val="17"/>
          <w:color w:val="auto"/>
        </w:rPr>
        <w:t>. Payment of cash or distribution of any shares of Common Stock to which a participant is entitled under any Incentive shall be made as provided in the Incentive. Except as permitted under Section 10.17, payments and distributions may not be deferred under any Incentive unless the deferral complies with the requirements of Code Section 409A.</w:t>
      </w:r>
    </w:p>
    <w:p>
      <w:pPr>
        <w:spacing w:after="0" w:line="105" w:lineRule="exact"/>
        <w:rPr>
          <w:sz w:val="20"/>
          <w:szCs w:val="20"/>
          <w:color w:val="auto"/>
        </w:rPr>
      </w:pPr>
    </w:p>
    <w:p>
      <w:pPr>
        <w:ind w:left="1620" w:right="559" w:firstLine="360"/>
        <w:spacing w:after="0" w:line="23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of Directors may amend or discontinue the Plan at any time. However, no such amendment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13" w:lineRule="exact"/>
        <w:rPr>
          <w:sz w:val="20"/>
          <w:szCs w:val="20"/>
          <w:color w:val="auto"/>
        </w:rPr>
      </w:pPr>
    </w:p>
    <w:p>
      <w:pPr>
        <w:ind w:left="1620" w:right="439" w:firstLine="360"/>
        <w:spacing w:after="0" w:line="23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Amendment of Agreements for Incentives; No Repricing</w:t>
      </w:r>
      <w:r>
        <w:rPr>
          <w:rFonts w:ascii="Arial" w:cs="Arial" w:eastAsia="Arial" w:hAnsi="Arial"/>
          <w:sz w:val="18"/>
          <w:szCs w:val="18"/>
          <w:color w:val="auto"/>
        </w:rPr>
        <w:t>. Except as otherwise provided in this Section 10.12 or Section 10.17,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10.4 and 10.17.</w:t>
      </w:r>
    </w:p>
    <w:p>
      <w:pPr>
        <w:spacing w:after="0" w:line="124" w:lineRule="exact"/>
        <w:rPr>
          <w:sz w:val="20"/>
          <w:szCs w:val="20"/>
          <w:color w:val="auto"/>
        </w:rPr>
      </w:pPr>
    </w:p>
    <w:p>
      <w:pPr>
        <w:ind w:left="1620" w:right="459" w:firstLine="360"/>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Vesting Upon Change In Control</w:t>
      </w:r>
      <w:r>
        <w:rPr>
          <w:rFonts w:ascii="Arial" w:cs="Arial" w:eastAsia="Arial" w:hAnsi="Arial"/>
          <w:sz w:val="17"/>
          <w:szCs w:val="17"/>
          <w:color w:val="auto"/>
        </w:rPr>
        <w:t>. Upon the occurrence of an event satisfying the definition of “Change in Control” with respect to a particular Incentive, unless otherwise provided in the agreement for the Incentive, such Incentive shall become vested and all restrictions shall lapse. The</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559"/>
        <w:spacing w:after="0" w:line="248" w:lineRule="auto"/>
        <w:rPr>
          <w:sz w:val="20"/>
          <w:szCs w:val="20"/>
          <w:color w:val="auto"/>
        </w:rPr>
      </w:pPr>
      <w:r>
        <w:rPr>
          <w:rFonts w:ascii="Arial" w:cs="Arial" w:eastAsia="Arial" w:hAnsi="Arial"/>
          <w:sz w:val="18"/>
          <w:szCs w:val="18"/>
          <w:color w:val="auto"/>
        </w:rPr>
        <w:t>Committee may, in its discretion, include such further provisions and limitations in any agreement for an Incentive as it may deem desirable. For purposes of this Section 10.13, “Change in Control” means the occurrence of any one or more of the following:</w:t>
      </w:r>
    </w:p>
    <w:p>
      <w:pPr>
        <w:spacing w:after="0" w:line="101" w:lineRule="exact"/>
        <w:rPr>
          <w:sz w:val="20"/>
          <w:szCs w:val="20"/>
          <w:color w:val="auto"/>
        </w:rPr>
      </w:pPr>
    </w:p>
    <w:p>
      <w:pPr>
        <w:ind w:left="2700" w:hanging="360"/>
        <w:spacing w:after="0"/>
        <w:tabs>
          <w:tab w:leader="none" w:pos="2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merger, consolidation, statutory exchange or reorganization approved by the</w:t>
      </w:r>
    </w:p>
    <w:p>
      <w:pPr>
        <w:spacing w:after="0" w:line="11" w:lineRule="exact"/>
        <w:rPr>
          <w:rFonts w:ascii="Arial" w:cs="Arial" w:eastAsia="Arial" w:hAnsi="Arial"/>
          <w:sz w:val="18"/>
          <w:szCs w:val="18"/>
          <w:color w:val="auto"/>
        </w:rPr>
      </w:pPr>
    </w:p>
    <w:p>
      <w:pPr>
        <w:ind w:left="1980" w:right="559"/>
        <w:spacing w:after="0" w:line="237" w:lineRule="auto"/>
        <w:rPr>
          <w:rFonts w:ascii="Arial" w:cs="Arial" w:eastAsia="Arial" w:hAnsi="Arial"/>
          <w:sz w:val="18"/>
          <w:szCs w:val="18"/>
          <w:color w:val="auto"/>
        </w:rPr>
      </w:pPr>
      <w:r>
        <w:rPr>
          <w:rFonts w:ascii="Arial" w:cs="Arial" w:eastAsia="Arial" w:hAnsi="Arial"/>
          <w:sz w:val="18"/>
          <w:szCs w:val="18"/>
          <w:color w:val="auto"/>
        </w:rPr>
        <w:t>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23" w:lineRule="exact"/>
        <w:rPr>
          <w:rFonts w:ascii="Arial" w:cs="Arial" w:eastAsia="Arial" w:hAnsi="Arial"/>
          <w:sz w:val="18"/>
          <w:szCs w:val="18"/>
          <w:color w:val="auto"/>
        </w:rPr>
      </w:pPr>
    </w:p>
    <w:p>
      <w:pPr>
        <w:ind w:left="1980" w:right="479" w:firstLine="360"/>
        <w:spacing w:after="0" w:line="237" w:lineRule="auto"/>
        <w:tabs>
          <w:tab w:leader="none" w:pos="2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pursuant to which any person or any group of persons comprising a “group” within the meaning of Rule 13d-5(b)(1) under the Securities Exchange Act of 1934,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Securities Exchange Act of 1934, as amended)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125" w:lineRule="exact"/>
        <w:rPr>
          <w:rFonts w:ascii="Arial" w:cs="Arial" w:eastAsia="Arial" w:hAnsi="Arial"/>
          <w:sz w:val="18"/>
          <w:szCs w:val="18"/>
          <w:color w:val="auto"/>
        </w:rPr>
      </w:pPr>
    </w:p>
    <w:p>
      <w:pPr>
        <w:ind w:left="1980" w:right="419" w:firstLine="360"/>
        <w:spacing w:after="0" w:line="239" w:lineRule="auto"/>
        <w:tabs>
          <w:tab w:leader="none" w:pos="26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109" w:lineRule="exact"/>
        <w:rPr>
          <w:rFonts w:ascii="Arial" w:cs="Arial" w:eastAsia="Arial" w:hAnsi="Arial"/>
          <w:sz w:val="18"/>
          <w:szCs w:val="18"/>
          <w:color w:val="auto"/>
        </w:rPr>
      </w:pPr>
    </w:p>
    <w:p>
      <w:pPr>
        <w:ind w:left="1980" w:right="519" w:firstLine="360"/>
        <w:spacing w:after="0" w:line="259" w:lineRule="auto"/>
        <w:tabs>
          <w:tab w:leader="none" w:pos="27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06" w:lineRule="exact"/>
        <w:rPr>
          <w:sz w:val="20"/>
          <w:szCs w:val="20"/>
          <w:color w:val="auto"/>
        </w:rPr>
      </w:pPr>
    </w:p>
    <w:p>
      <w:pPr>
        <w:ind w:left="1620" w:right="419"/>
        <w:spacing w:after="0" w:line="250" w:lineRule="auto"/>
        <w:rPr>
          <w:sz w:val="20"/>
          <w:szCs w:val="20"/>
          <w:color w:val="auto"/>
        </w:rPr>
      </w:pPr>
      <w:r>
        <w:rPr>
          <w:rFonts w:ascii="Arial" w:cs="Arial" w:eastAsia="Arial" w:hAnsi="Arial"/>
          <w:sz w:val="17"/>
          <w:szCs w:val="17"/>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 and (ii) a “Change in Control” shall not be deemed to have occurred for purposes of the 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(ii)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w:t>
      </w:r>
    </w:p>
    <w:p>
      <w:pPr>
        <w:spacing w:after="0" w:line="1" w:lineRule="exact"/>
        <w:rPr>
          <w:sz w:val="20"/>
          <w:szCs w:val="20"/>
          <w:color w:val="auto"/>
        </w:rPr>
      </w:pPr>
    </w:p>
    <w:p>
      <w:pPr>
        <w:ind w:left="1620" w:right="539"/>
        <w:spacing w:after="0" w:line="239" w:lineRule="auto"/>
        <w:rPr>
          <w:sz w:val="20"/>
          <w:szCs w:val="20"/>
          <w:color w:val="auto"/>
        </w:rPr>
      </w:pPr>
      <w:r>
        <w:rPr>
          <w:rFonts w:ascii="Arial" w:cs="Arial" w:eastAsia="Arial" w:hAnsi="Arial"/>
          <w:sz w:val="18"/>
          <w:szCs w:val="18"/>
          <w:color w:val="auto"/>
        </w:rPr>
        <w:t>thirty percent (30%) or more of the combined voting power of all of the then outstanding Voting Securities, then a “Change in Control” shall be deemed to have occurred for purposes of the foregoing clause (b).</w:t>
      </w:r>
    </w:p>
    <w:p>
      <w:pPr>
        <w:spacing w:after="0" w:line="122" w:lineRule="exact"/>
        <w:rPr>
          <w:sz w:val="20"/>
          <w:szCs w:val="20"/>
          <w:color w:val="auto"/>
        </w:rPr>
      </w:pPr>
    </w:p>
    <w:p>
      <w:pPr>
        <w:jc w:val="both"/>
        <w:ind w:left="1620" w:right="579" w:firstLine="360"/>
        <w:spacing w:after="0" w:line="270"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Sale, Merger, Exchange or Liquidation</w:t>
      </w:r>
      <w:r>
        <w:rPr>
          <w:rFonts w:ascii="Arial" w:cs="Arial" w:eastAsia="Arial" w:hAnsi="Arial"/>
          <w:sz w:val="17"/>
          <w:szCs w:val="17"/>
          <w:color w:val="auto"/>
        </w:rPr>
        <w:t>. Unless otherwise provided in the agreement for an Incentive, in the event of an acquisition of the Company through the sale of substantially all of the Company’s assets or through a merger, exchange, reorganization or liquidation of the Company or a</w:t>
      </w: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spacing w:after="0" w:line="263" w:lineRule="auto"/>
        <w:rPr>
          <w:sz w:val="20"/>
          <w:szCs w:val="20"/>
          <w:color w:val="auto"/>
        </w:rPr>
      </w:pPr>
      <w:r>
        <w:rPr>
          <w:rFonts w:ascii="Arial" w:cs="Arial" w:eastAsia="Arial" w:hAnsi="Arial"/>
          <w:sz w:val="18"/>
          <w:szCs w:val="18"/>
          <w:color w:val="auto"/>
        </w:rPr>
        <w:t>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103" w:lineRule="exact"/>
        <w:rPr>
          <w:sz w:val="20"/>
          <w:szCs w:val="20"/>
          <w:color w:val="auto"/>
        </w:rPr>
      </w:pPr>
    </w:p>
    <w:p>
      <w:pPr>
        <w:ind w:left="1980" w:right="479" w:firstLine="360"/>
        <w:spacing w:after="0" w:line="269" w:lineRule="auto"/>
        <w:tabs>
          <w:tab w:leader="none" w:pos="26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111" w:lineRule="exact"/>
        <w:rPr>
          <w:rFonts w:ascii="Arial" w:cs="Arial" w:eastAsia="Arial" w:hAnsi="Arial"/>
          <w:sz w:val="17"/>
          <w:szCs w:val="17"/>
          <w:color w:val="auto"/>
        </w:rPr>
      </w:pPr>
    </w:p>
    <w:p>
      <w:pPr>
        <w:ind w:left="1980" w:right="419" w:firstLine="360"/>
        <w:spacing w:after="0" w:line="253" w:lineRule="auto"/>
        <w:tabs>
          <w:tab w:leader="none" w:pos="27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128" w:lineRule="exact"/>
        <w:rPr>
          <w:rFonts w:ascii="Arial" w:cs="Arial" w:eastAsia="Arial" w:hAnsi="Arial"/>
          <w:sz w:val="18"/>
          <w:szCs w:val="18"/>
          <w:color w:val="auto"/>
        </w:rPr>
      </w:pPr>
    </w:p>
    <w:p>
      <w:pPr>
        <w:ind w:left="1980" w:right="539" w:firstLine="360"/>
        <w:spacing w:after="0" w:line="255" w:lineRule="auto"/>
        <w:tabs>
          <w:tab w:leader="none" w:pos="26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111" w:lineRule="exact"/>
        <w:rPr>
          <w:rFonts w:ascii="Arial" w:cs="Arial" w:eastAsia="Arial" w:hAnsi="Arial"/>
          <w:sz w:val="18"/>
          <w:szCs w:val="18"/>
          <w:color w:val="auto"/>
        </w:rPr>
      </w:pPr>
    </w:p>
    <w:p>
      <w:pPr>
        <w:ind w:left="2700" w:hanging="360"/>
        <w:spacing w:after="0"/>
        <w:tabs>
          <w:tab w:leader="none" w:pos="2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 vesting of any Incentives is not accelerated pursuant to</w:t>
      </w:r>
    </w:p>
    <w:p>
      <w:pPr>
        <w:spacing w:after="0" w:line="23" w:lineRule="exact"/>
        <w:rPr>
          <w:sz w:val="20"/>
          <w:szCs w:val="20"/>
          <w:color w:val="auto"/>
        </w:rPr>
      </w:pPr>
    </w:p>
    <w:p>
      <w:pPr>
        <w:ind w:left="1980" w:right="719"/>
        <w:spacing w:after="0" w:line="253" w:lineRule="auto"/>
        <w:rPr>
          <w:sz w:val="20"/>
          <w:szCs w:val="20"/>
          <w:color w:val="auto"/>
        </w:rPr>
      </w:pPr>
      <w:r>
        <w:rPr>
          <w:rFonts w:ascii="Arial" w:cs="Arial" w:eastAsia="Arial" w:hAnsi="Arial"/>
          <w:sz w:val="18"/>
          <w:szCs w:val="18"/>
          <w:color w:val="auto"/>
        </w:rPr>
        <w:t>Section 10.13,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25"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Board of Directors may restrict the rights of participants or the applicability of this Section 10.14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25" w:lineRule="exact"/>
        <w:rPr>
          <w:sz w:val="20"/>
          <w:szCs w:val="20"/>
          <w:color w:val="auto"/>
        </w:rPr>
      </w:pPr>
    </w:p>
    <w:p>
      <w:pPr>
        <w:jc w:val="both"/>
        <w:ind w:left="1620" w:right="539" w:firstLine="360"/>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Definition of Fair Market Value</w:t>
      </w:r>
      <w:r>
        <w:rPr>
          <w:rFonts w:ascii="Arial" w:cs="Arial" w:eastAsia="Arial" w:hAnsi="Arial"/>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06" w:lineRule="exact"/>
        <w:rPr>
          <w:sz w:val="20"/>
          <w:szCs w:val="20"/>
          <w:color w:val="auto"/>
        </w:rPr>
      </w:pPr>
    </w:p>
    <w:p>
      <w:pPr>
        <w:ind w:left="1980" w:right="479" w:firstLine="360"/>
        <w:spacing w:after="0" w:line="275" w:lineRule="auto"/>
        <w:tabs>
          <w:tab w:leader="none" w:pos="26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19" w:firstLine="360"/>
        <w:spacing w:after="0" w:line="262" w:lineRule="auto"/>
        <w:tabs>
          <w:tab w:leader="none" w:pos="27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91" w:lineRule="exact"/>
        <w:rPr>
          <w:rFonts w:ascii="Arial" w:cs="Arial" w:eastAsia="Arial" w:hAnsi="Arial"/>
          <w:sz w:val="17"/>
          <w:szCs w:val="17"/>
          <w:color w:val="auto"/>
        </w:rPr>
      </w:pPr>
    </w:p>
    <w:p>
      <w:pPr>
        <w:ind w:left="1980" w:right="439" w:firstLine="360"/>
        <w:spacing w:after="0" w:line="241" w:lineRule="auto"/>
        <w:tabs>
          <w:tab w:leader="none" w:pos="26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122" w:lineRule="exact"/>
        <w:rPr>
          <w:sz w:val="20"/>
          <w:szCs w:val="20"/>
          <w:color w:val="auto"/>
        </w:rPr>
      </w:pPr>
    </w:p>
    <w:p>
      <w:pPr>
        <w:jc w:val="both"/>
        <w:ind w:left="1620" w:right="719" w:firstLine="360"/>
        <w:spacing w:after="0" w:line="248" w:lineRule="auto"/>
        <w:rPr>
          <w:sz w:val="20"/>
          <w:szCs w:val="20"/>
          <w:color w:val="auto"/>
        </w:rPr>
      </w:pPr>
      <w:r>
        <w:rPr>
          <w:rFonts w:ascii="Arial" w:cs="Arial" w:eastAsia="Arial" w:hAnsi="Arial"/>
          <w:sz w:val="18"/>
          <w:szCs w:val="18"/>
          <w:color w:val="auto"/>
        </w:rPr>
        <w:t xml:space="preserve">10. 16. </w:t>
      </w:r>
      <w:r>
        <w:rPr>
          <w:rFonts w:ascii="Arial" w:cs="Arial" w:eastAsia="Arial" w:hAnsi="Arial"/>
          <w:sz w:val="18"/>
          <w:szCs w:val="18"/>
          <w:u w:val="single" w:color="auto"/>
          <w:color w:val="auto"/>
        </w:rPr>
        <w:t>Definition of Grant Date</w:t>
      </w:r>
      <w:r>
        <w:rPr>
          <w:rFonts w:ascii="Arial" w:cs="Arial" w:eastAsia="Arial" w:hAnsi="Arial"/>
          <w:sz w:val="18"/>
          <w:szCs w:val="18"/>
          <w:color w:val="auto"/>
        </w:rPr>
        <w:t>. For purposes of this Plan, the “Grant Date” of an Incentive shall be the date on which the Committee approved the award or, if later, the date established by the Committee as the date of grant of the Incentive.</w:t>
      </w:r>
    </w:p>
    <w:p>
      <w:pPr>
        <w:spacing w:after="0" w:line="114" w:lineRule="exact"/>
        <w:rPr>
          <w:sz w:val="20"/>
          <w:szCs w:val="20"/>
          <w:color w:val="auto"/>
        </w:rPr>
      </w:pPr>
    </w:p>
    <w:p>
      <w:pPr>
        <w:ind w:left="1980"/>
        <w:spacing w:after="0"/>
        <w:tabs>
          <w:tab w:leader="none" w:pos="25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w:t>
      </w:r>
    </w:p>
    <w:p>
      <w:pPr>
        <w:spacing w:after="0" w:line="144" w:lineRule="exact"/>
        <w:rPr>
          <w:sz w:val="20"/>
          <w:szCs w:val="20"/>
          <w:color w:val="auto"/>
        </w:rPr>
      </w:pPr>
    </w:p>
    <w:p>
      <w:pPr>
        <w:ind w:left="1980" w:right="519" w:firstLine="360"/>
        <w:spacing w:after="0" w:line="238" w:lineRule="auto"/>
        <w:tabs>
          <w:tab w:leader="none" w:pos="26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26" w:lineRule="exact"/>
        <w:rPr>
          <w:rFonts w:ascii="Arial" w:cs="Arial" w:eastAsia="Arial" w:hAnsi="Arial"/>
          <w:sz w:val="18"/>
          <w:szCs w:val="18"/>
          <w:color w:val="auto"/>
        </w:rPr>
      </w:pPr>
    </w:p>
    <w:p>
      <w:pPr>
        <w:ind w:left="1980" w:right="479" w:firstLine="360"/>
        <w:spacing w:after="0" w:line="252" w:lineRule="auto"/>
        <w:tabs>
          <w:tab w:leader="none" w:pos="270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115" w:lineRule="exact"/>
        <w:rPr>
          <w:rFonts w:ascii="Arial" w:cs="Arial" w:eastAsia="Arial" w:hAnsi="Arial"/>
          <w:sz w:val="17"/>
          <w:szCs w:val="17"/>
          <w:color w:val="auto"/>
        </w:rPr>
      </w:pPr>
    </w:p>
    <w:p>
      <w:pPr>
        <w:ind w:left="1980" w:right="499" w:firstLine="360"/>
        <w:spacing w:after="0" w:line="243" w:lineRule="auto"/>
        <w:tabs>
          <w:tab w:leader="none" w:pos="26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06" w:lineRule="exact"/>
        <w:rPr>
          <w:rFonts w:ascii="Arial" w:cs="Arial" w:eastAsia="Arial" w:hAnsi="Arial"/>
          <w:sz w:val="18"/>
          <w:szCs w:val="18"/>
          <w:color w:val="auto"/>
        </w:rPr>
      </w:pPr>
    </w:p>
    <w:p>
      <w:pPr>
        <w:ind w:left="1980" w:right="439" w:firstLine="360"/>
        <w:spacing w:after="0" w:line="236" w:lineRule="auto"/>
        <w:tabs>
          <w:tab w:leader="none" w:pos="27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Section 10.17,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w:t>
      </w:r>
    </w:p>
    <w:p>
      <w:pPr>
        <w:spacing w:after="0" w:line="38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spacing w:after="0" w:line="279" w:lineRule="auto"/>
        <w:rPr>
          <w:sz w:val="20"/>
          <w:szCs w:val="20"/>
          <w:color w:val="auto"/>
        </w:rPr>
      </w:pPr>
      <w:r>
        <w:rPr>
          <w:rFonts w:ascii="Arial" w:cs="Arial" w:eastAsia="Arial" w:hAnsi="Arial"/>
          <w:sz w:val="17"/>
          <w:szCs w:val="17"/>
          <w:color w:val="auto"/>
        </w:rPr>
        <w:t>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90" w:lineRule="exact"/>
        <w:rPr>
          <w:sz w:val="20"/>
          <w:szCs w:val="20"/>
          <w:color w:val="auto"/>
        </w:rPr>
      </w:pPr>
    </w:p>
    <w:p>
      <w:pPr>
        <w:ind w:left="1620" w:right="499" w:firstLine="360"/>
        <w:spacing w:after="0" w:line="25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Prior Plan</w:t>
      </w:r>
      <w:r>
        <w:rPr>
          <w:rFonts w:ascii="Arial" w:cs="Arial" w:eastAsia="Arial" w:hAnsi="Arial"/>
          <w:sz w:val="18"/>
          <w:szCs w:val="18"/>
          <w:color w:val="auto"/>
        </w:rPr>
        <w:t>. Notwithstanding the adoption of this Plan by the Board of Directors and its approval by the shareholders, the Company’s 2008 Equity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6"/>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8"/>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9"/>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2021-07-07T07:02:39Z</dcterms:created>
  <dcterms:modified xsi:type="dcterms:W3CDTF">2021-07-07T07:02:39Z</dcterms:modified>
</cp:coreProperties>
</file>