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w:t>
      </w:r>
    </w:p>
    <w:p>
      <w:pPr>
        <w:sectPr>
          <w:pgSz w:w="11900" w:h="16838" w:orient="portrait"/>
          <w:cols w:equalWidth="0" w:num="1">
            <w:col w:w="11120"/>
          </w:cols>
          <w:pgMar w:left="320" w:top="228" w:right="459" w:bottom="1440" w:gutter="0" w:footer="0" w:header="0"/>
        </w:sect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7" w:lineRule="exact"/>
        <w:rPr>
          <w:sz w:val="24"/>
          <w:szCs w:val="24"/>
          <w:color w:val="auto"/>
        </w:rPr>
      </w:pPr>
    </w:p>
    <w:p>
      <w:pPr>
        <w:sectPr>
          <w:pgSz w:w="11900" w:h="16838" w:orient="portrait"/>
          <w:cols w:equalWidth="0" w:num="2">
            <w:col w:w="2940" w:space="100"/>
            <w:col w:w="8080"/>
          </w:cols>
          <w:pgMar w:left="320" w:top="228" w:right="45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120"/>
          </w:cols>
          <w:pgMar w:left="320" w:top="228" w:right="459" w:bottom="1440" w:gutter="0" w:footer="0" w:header="0"/>
          <w:type w:val="continuous"/>
        </w:sectPr>
      </w:pPr>
    </w:p>
    <w:p>
      <w:pPr>
        <w:spacing w:after="0" w:line="243" w:lineRule="exact"/>
        <w:rPr>
          <w:sz w:val="24"/>
          <w:szCs w:val="24"/>
          <w:color w:val="auto"/>
        </w:rPr>
      </w:pPr>
    </w:p>
    <w:p>
      <w:pPr>
        <w:ind w:left="580" w:hanging="57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19" w:lineRule="exact"/>
        <w:rPr>
          <w:rFonts w:ascii="MS PGothic" w:cs="MS PGothic" w:eastAsia="MS PGothic" w:hAnsi="MS PGothic"/>
          <w:sz w:val="18"/>
          <w:szCs w:val="18"/>
          <w:color w:val="auto"/>
        </w:rPr>
      </w:pPr>
    </w:p>
    <w:p>
      <w:pPr>
        <w:ind w:left="580" w:hanging="57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0" w:lineRule="exact"/>
        <w:rPr>
          <w:sz w:val="24"/>
          <w:szCs w:val="24"/>
          <w:color w:val="auto"/>
        </w:rPr>
      </w:pPr>
    </w:p>
    <w:p>
      <w:pPr>
        <w:ind w:left="580" w:hanging="573"/>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0" w:lineRule="exact"/>
        <w:rPr>
          <w:sz w:val="24"/>
          <w:szCs w:val="24"/>
          <w:color w:val="auto"/>
        </w:rPr>
      </w:pPr>
    </w:p>
    <w:p>
      <w:pPr>
        <w:ind w:left="580" w:hanging="573"/>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580" w:hanging="573"/>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PREDICTIVE ONCOLOGY INC.</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33" w:lineRule="exact"/>
        <w:rPr>
          <w:sz w:val="24"/>
          <w:szCs w:val="24"/>
          <w:color w:val="auto"/>
        </w:rPr>
      </w:pPr>
    </w:p>
    <w:p>
      <w:pPr>
        <w:ind w:left="580" w:hanging="573"/>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0" w:lineRule="exact"/>
        <w:rPr>
          <w:sz w:val="24"/>
          <w:szCs w:val="24"/>
          <w:color w:val="auto"/>
        </w:rPr>
      </w:pPr>
    </w:p>
    <w:p>
      <w:pPr>
        <w:ind w:left="580" w:hanging="573"/>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0" w:lineRule="exact"/>
        <w:rPr>
          <w:sz w:val="24"/>
          <w:szCs w:val="24"/>
          <w:color w:val="auto"/>
        </w:rPr>
      </w:pPr>
    </w:p>
    <w:p>
      <w:pPr>
        <w:ind w:left="580" w:hanging="57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 w:lineRule="exact"/>
        <w:rPr>
          <w:rFonts w:ascii="Arial" w:cs="Arial" w:eastAsia="Arial" w:hAnsi="Arial"/>
          <w:sz w:val="18"/>
          <w:szCs w:val="18"/>
          <w:color w:val="auto"/>
        </w:rPr>
      </w:pPr>
    </w:p>
    <w:p>
      <w:pPr>
        <w:ind w:left="580" w:hanging="57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 w:lineRule="exact"/>
        <w:rPr>
          <w:rFonts w:ascii="Arial" w:cs="Arial" w:eastAsia="Arial" w:hAnsi="Arial"/>
          <w:sz w:val="18"/>
          <w:szCs w:val="18"/>
          <w:color w:val="auto"/>
        </w:rPr>
      </w:pPr>
    </w:p>
    <w:p>
      <w:pPr>
        <w:ind w:left="580" w:hanging="573"/>
        <w:spacing w:after="0" w:line="24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57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 w:lineRule="exact"/>
        <w:rPr>
          <w:rFonts w:ascii="Arial" w:cs="Arial" w:eastAsia="Arial" w:hAnsi="Arial"/>
          <w:sz w:val="18"/>
          <w:szCs w:val="18"/>
          <w:color w:val="auto"/>
        </w:rPr>
      </w:pPr>
    </w:p>
    <w:p>
      <w:pPr>
        <w:ind w:left="580" w:hanging="57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7" w:lineRule="exact"/>
        <w:rPr>
          <w:sz w:val="24"/>
          <w:szCs w:val="24"/>
          <w:color w:val="auto"/>
        </w:rPr>
      </w:pPr>
    </w:p>
    <w:p>
      <w:pPr>
        <w:ind w:left="580" w:hanging="573"/>
        <w:spacing w:after="0"/>
        <w:tabs>
          <w:tab w:leader="none" w:pos="5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580" w:right="140" w:hanging="573"/>
        <w:spacing w:after="0" w:line="300" w:lineRule="auto"/>
        <w:tabs>
          <w:tab w:leader="none" w:pos="58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2" w:lineRule="exact"/>
        <w:rPr>
          <w:sz w:val="24"/>
          <w:szCs w:val="24"/>
          <w:color w:val="auto"/>
        </w:rPr>
      </w:pPr>
    </w:p>
    <w:p>
      <w:pPr>
        <w:ind w:left="580" w:hanging="573"/>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 w:lineRule="exact"/>
        <w:rPr>
          <w:rFonts w:ascii="Arial" w:cs="Arial" w:eastAsia="Arial" w:hAnsi="Arial"/>
          <w:sz w:val="18"/>
          <w:szCs w:val="18"/>
          <w:color w:val="auto"/>
        </w:rPr>
      </w:pPr>
    </w:p>
    <w:p>
      <w:pPr>
        <w:ind w:left="580" w:hanging="573"/>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 w:lineRule="exact"/>
        <w:rPr>
          <w:rFonts w:ascii="Arial" w:cs="Arial" w:eastAsia="Arial" w:hAnsi="Arial"/>
          <w:sz w:val="18"/>
          <w:szCs w:val="18"/>
          <w:color w:val="auto"/>
        </w:rPr>
      </w:pPr>
    </w:p>
    <w:p>
      <w:pPr>
        <w:ind w:left="580" w:hanging="573"/>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 w:lineRule="exact"/>
        <w:rPr>
          <w:rFonts w:ascii="Arial" w:cs="Arial" w:eastAsia="Arial" w:hAnsi="Arial"/>
          <w:sz w:val="18"/>
          <w:szCs w:val="18"/>
          <w:color w:val="auto"/>
        </w:rPr>
      </w:pPr>
    </w:p>
    <w:p>
      <w:pPr>
        <w:ind w:left="580" w:hanging="573"/>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563880</wp:posOffset>
            </wp:positionV>
            <wp:extent cx="71342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120"/>
          </w:cols>
          <w:pgMar w:left="320" w:top="228"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2915 Commers Drive, Suite 900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Eagan, Minnesota 55121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(651) 389-4800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December 23,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0" w:lineRule="exact"/>
        <w:rPr>
          <w:sz w:val="20"/>
          <w:szCs w:val="20"/>
          <w:color w:val="auto"/>
        </w:rPr>
      </w:pPr>
    </w:p>
    <w:p>
      <w:pPr>
        <w:jc w:val="both"/>
        <w:ind w:firstLine="436"/>
        <w:spacing w:after="0" w:line="258" w:lineRule="auto"/>
        <w:rPr>
          <w:sz w:val="20"/>
          <w:szCs w:val="20"/>
          <w:color w:val="auto"/>
        </w:rPr>
      </w:pPr>
      <w:r>
        <w:rPr>
          <w:rFonts w:ascii="Arial" w:cs="Arial" w:eastAsia="Arial" w:hAnsi="Arial"/>
          <w:sz w:val="18"/>
          <w:szCs w:val="18"/>
          <w:color w:val="auto"/>
        </w:rPr>
        <w:t>You are cordially invited to attend the Annual Meeting of Stockholders (the “Annual Meeting”) of Predictive Oncology Inc. (the “Company”) on December 23, 2021, at 3:00 PM (Central Time) at the offices of the Company’s counsel, Maslon, LLP, 3300 Wells Fargo Center, 90 South Seventh Street, Minneapolis, MN 55402 for the following purposes: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Annual Meeting, the Company’s stockholders will be asked to:</w:t>
      </w:r>
    </w:p>
    <w:p>
      <w:pPr>
        <w:spacing w:after="0" w:line="220" w:lineRule="exact"/>
        <w:rPr>
          <w:sz w:val="20"/>
          <w:szCs w:val="20"/>
          <w:color w:val="auto"/>
        </w:rPr>
      </w:pPr>
    </w:p>
    <w:p>
      <w:pPr>
        <w:ind w:left="1280" w:hanging="63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 two Class III directors to hold office until the 2024 Annual Meeting of Stockholders;</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appointment of Baker Tilly Virchow Krause, LLP as the Company’s independent registered public accounting firm for the fiscal year ending December 31, 2021 (the “Auditor Proposal”); and</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any other business as more fully described in the proxy statement accompanying this Notice.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0" w:lineRule="exact"/>
        <w:rPr>
          <w:sz w:val="20"/>
          <w:szCs w:val="20"/>
          <w:color w:val="auto"/>
        </w:rPr>
      </w:pPr>
    </w:p>
    <w:p>
      <w:pPr>
        <w:ind w:firstLine="436"/>
        <w:spacing w:after="0" w:line="270" w:lineRule="auto"/>
        <w:rPr>
          <w:sz w:val="20"/>
          <w:szCs w:val="20"/>
          <w:color w:val="auto"/>
        </w:rPr>
      </w:pPr>
      <w:r>
        <w:rPr>
          <w:rFonts w:ascii="Arial" w:cs="Arial" w:eastAsia="Arial" w:hAnsi="Arial"/>
          <w:sz w:val="18"/>
          <w:szCs w:val="18"/>
          <w:color w:val="auto"/>
        </w:rPr>
        <w:t>The record date for the Annual Meeting is October 26, 2021. Only stockholders of record at the close of business on that date are entitled to vote at the meeting or any adjournment thereof, or by proxy.</w:t>
      </w:r>
    </w:p>
    <w:p>
      <w:pPr>
        <w:spacing w:after="0" w:line="38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By Order of the Board of Directors,</w:t>
      </w:r>
    </w:p>
    <w:p>
      <w:pPr>
        <w:spacing w:after="0" w:line="2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Sincerely,</w:t>
      </w:r>
    </w:p>
    <w:p>
      <w:pPr>
        <w:spacing w:after="0" w:line="2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 Melville Engle</w:t>
      </w:r>
    </w:p>
    <w:p>
      <w:pPr>
        <w:spacing w:after="0" w:line="2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 Melville Engle</w:t>
      </w:r>
    </w:p>
    <w:p>
      <w:pPr>
        <w:spacing w:after="0" w:line="19"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Eagan, Minnesota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November 5, 2021</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 w:name="page3"/>
    <w:bookmarkEnd w:id="2"/>
    <w:p>
      <w:pPr>
        <w:jc w:val="both"/>
        <w:spacing w:after="0" w:line="270" w:lineRule="auto"/>
        <w:rPr>
          <w:sz w:val="20"/>
          <w:szCs w:val="20"/>
          <w:color w:val="auto"/>
        </w:rPr>
      </w:pPr>
      <w:r>
        <w:rPr>
          <w:rFonts w:ascii="Arial" w:cs="Arial" w:eastAsia="Arial" w:hAnsi="Arial"/>
          <w:sz w:val="17"/>
          <w:szCs w:val="17"/>
          <w:b w:val="1"/>
          <w:bCs w:val="1"/>
          <w:color w:val="auto"/>
        </w:rPr>
        <w:t>You are cordially invited to attend the meeting in person. Whether or not you expect to attend the meeting, please vote your shares. You may submit your proxy card or voting instruction card by completing, signing, dating and mailing your proxy card or voting instruction card in the envelope provided or vote by facsimile, email or over the Internet as instructed in the proxy statement. Any stockholder attending the meeting may vote in person, even if you already returned a proxy card or voting instruction card and intend to change your original vote. Please note, however, that if your shares are held of record by a broker, bank or other nominee and you wish to vote at the meeting, you must obtain a legal proxy issued in your name from that record holder.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 TO BE HELD ON DECEMBER 23,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at https://investors.predictive-oncology.com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6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1560" w:type="dxa"/>
            <w:vAlign w:val="bottom"/>
          </w:tcPr>
          <w:p>
            <w:pPr>
              <w:spacing w:after="0"/>
              <w:rPr>
                <w:sz w:val="20"/>
                <w:szCs w:val="20"/>
                <w:color w:val="auto"/>
              </w:rPr>
            </w:pPr>
          </w:p>
        </w:tc>
      </w:tr>
      <w:tr>
        <w:trPr>
          <w:trHeight w:val="467"/>
        </w:trPr>
        <w:tc>
          <w:tcPr>
            <w:tcW w:w="8860" w:type="dxa"/>
            <w:vAlign w:val="bottom"/>
          </w:tcPr>
          <w:p>
            <w:pPr>
              <w:spacing w:after="0"/>
              <w:rPr>
                <w:sz w:val="20"/>
                <w:szCs w:val="20"/>
                <w:color w:val="auto"/>
              </w:rPr>
            </w:pPr>
            <w:r>
              <w:rPr>
                <w:rFonts w:ascii="Arial" w:cs="Arial" w:eastAsia="Arial" w:hAnsi="Arial"/>
                <w:sz w:val="18"/>
                <w:szCs w:val="18"/>
                <w:color w:val="auto"/>
              </w:rPr>
              <w:t>QUESTIONS AND ANSWERS ABOUT THIS PROXY MATERIAL AND VOTING</w:t>
            </w:r>
          </w:p>
        </w:tc>
        <w:tc>
          <w:tcPr>
            <w:tcW w:w="1560" w:type="dxa"/>
            <w:vAlign w:val="bottom"/>
          </w:tcPr>
          <w:p>
            <w:pPr>
              <w:ind w:left="1380"/>
              <w:spacing w:after="0"/>
              <w:rPr>
                <w:sz w:val="20"/>
                <w:szCs w:val="20"/>
                <w:color w:val="auto"/>
              </w:rPr>
            </w:pPr>
            <w:r>
              <w:rPr>
                <w:rFonts w:ascii="Arial" w:cs="Arial" w:eastAsia="Arial" w:hAnsi="Arial"/>
                <w:sz w:val="18"/>
                <w:szCs w:val="18"/>
                <w:color w:val="auto"/>
              </w:rPr>
              <w:t>1</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PROPOSAL NO. 1: ELECTION OF DIRECTORS</w:t>
            </w:r>
          </w:p>
        </w:tc>
        <w:tc>
          <w:tcPr>
            <w:tcW w:w="1560" w:type="dxa"/>
            <w:vAlign w:val="bottom"/>
          </w:tcPr>
          <w:p>
            <w:pPr>
              <w:ind w:left="1380"/>
              <w:spacing w:after="0"/>
              <w:rPr>
                <w:sz w:val="20"/>
                <w:szCs w:val="20"/>
                <w:color w:val="auto"/>
              </w:rPr>
            </w:pPr>
            <w:r>
              <w:rPr>
                <w:rFonts w:ascii="Arial" w:cs="Arial" w:eastAsia="Arial" w:hAnsi="Arial"/>
                <w:sz w:val="18"/>
                <w:szCs w:val="18"/>
                <w:color w:val="auto"/>
              </w:rPr>
              <w:t>6</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INFORMATION REGARDING THE BOARD OF DIRECTORS AND CORPORATE GOVERNANCE</w:t>
            </w:r>
          </w:p>
        </w:tc>
        <w:tc>
          <w:tcPr>
            <w:tcW w:w="1560" w:type="dxa"/>
            <w:vAlign w:val="bottom"/>
          </w:tcPr>
          <w:p>
            <w:pPr>
              <w:ind w:left="1380"/>
              <w:spacing w:after="0"/>
              <w:rPr>
                <w:sz w:val="20"/>
                <w:szCs w:val="20"/>
                <w:color w:val="auto"/>
              </w:rPr>
            </w:pPr>
            <w:r>
              <w:rPr>
                <w:rFonts w:ascii="Arial" w:cs="Arial" w:eastAsia="Arial" w:hAnsi="Arial"/>
                <w:sz w:val="18"/>
                <w:szCs w:val="18"/>
                <w:color w:val="auto"/>
              </w:rPr>
              <w:t>9</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RELATED PARTY TRANSACTIONS</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14</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EQUITY COMPENSATION PLAN INFORMATION</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15</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16</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DIRECTOR COMPENSATION</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22</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PROPOSAL NO 2.: RATIFICATION OF SELECTION OF INDEPENDENT AUDITORS</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23</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25</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FORM 10-K</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27</w:t>
            </w:r>
          </w:p>
        </w:tc>
      </w:tr>
      <w:tr>
        <w:trPr>
          <w:trHeight w:val="294"/>
        </w:trPr>
        <w:tc>
          <w:tcPr>
            <w:tcW w:w="8860" w:type="dxa"/>
            <w:vAlign w:val="bottom"/>
          </w:tcPr>
          <w:p>
            <w:pPr>
              <w:spacing w:after="0"/>
              <w:rPr>
                <w:sz w:val="20"/>
                <w:szCs w:val="20"/>
                <w:color w:val="auto"/>
              </w:rPr>
            </w:pPr>
            <w:r>
              <w:rPr>
                <w:rFonts w:ascii="Arial" w:cs="Arial" w:eastAsia="Arial" w:hAnsi="Arial"/>
                <w:sz w:val="18"/>
                <w:szCs w:val="18"/>
                <w:color w:val="auto"/>
              </w:rPr>
              <w:t>OTHER MATTERS</w:t>
            </w: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71342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0420"/>
          </w:cols>
          <w:pgMar w:left="360" w:top="682" w:right="11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2915 Commers Drive, Suite 900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Eagan, Minnesota 55121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(651) 389-4800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DECEMBER 23, 2021</w:t>
      </w:r>
    </w:p>
    <w:p>
      <w:pPr>
        <w:spacing w:after="0" w:line="20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24"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We have sent you this proxy statement and the enclosed proxy card because the Board of Directors (the “Board of Directors” or the “Board”) of Predictive Oncology Inc. (the “Company”) is soliciting your proxy to vote at the Annual Meeting of Stockholders of the Company (the “Annual Meeting”) to be held on December 23, 2021, at 3:00 PM (Central Time), including any adjournments or postponements of the Annual Meeting. The Annual Meeting will be held at the offices of the Company’s counsel, Maslon, LLP You are invited to attend the Special Meeting to vote on the proposals described in this proxy statement. However, you do not need to attend the meeting to vote your shares. Instead, you may simply complete, sign and return the enclosed proxy card, or follow the instructions below to submit your proxy by facsimile, email or on the Internet.</w:t>
      </w:r>
    </w:p>
    <w:p>
      <w:pPr>
        <w:spacing w:after="0" w:line="18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Company intends to mail this proxy statement and accompanying proxy card on or about November 5, 2021, to all stockholders of record entitled to vote at the Annual Meeting.</w:t>
      </w:r>
    </w:p>
    <w:p>
      <w:pPr>
        <w:spacing w:after="0"/>
        <w:rPr>
          <w:sz w:val="20"/>
          <w:szCs w:val="20"/>
          <w:color w:val="auto"/>
        </w:rPr>
      </w:pPr>
      <w:r>
        <w:rPr>
          <w:rFonts w:ascii="Arial" w:cs="Arial" w:eastAsia="Arial" w:hAnsi="Arial"/>
          <w:sz w:val="18"/>
          <w:szCs w:val="18"/>
          <w:b w:val="1"/>
          <w:bCs w:val="1"/>
          <w:color w:val="auto"/>
        </w:rPr>
        <w:t>Am I allowed to attend the Special Meeting in person?</w:t>
      </w:r>
    </w:p>
    <w:p>
      <w:pPr>
        <w:spacing w:after="0" w:line="20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Stockholders may attend the Annual Meeting in person. Any stockholder who desires to attend in person is kindly asked to provide advance written notice to bmyers@predictive-oncology.com. If you would like directions to the offices of the Company’s counsel, Maslon, LLP, please call (651) 389-4800.</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u w:val="single" w:color="auto"/>
          <w:color w:val="auto"/>
        </w:rPr>
        <w:t>Please note that any stockholder who attends the Annual Meeting in person will be required to wear a mask considering the ongoing COVID-19 pandemic and vaccination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Only stockholders of record at the close of business on October 26, 2021, will be entitled to vote at the Annual Meeting. On the record date, there were 65,580,870 shares of common stock outstanding and entitled to vote.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If, on October 26, 2021, your shares were registered directly in your name with the Company’s transfer agent, Equiniti, then you are a stockholder of record. As a stockholder of record, you may vote at the meeting or vote by proxy. Whether or not you plan to attend the meeting, we urge you to vote your shares by completing, signing, dating and mailing your proxy card in the envelope provided or vote by proxy via facsimile, email or on the Internet as instructed below to ensure your vote is counted.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If, on October 26, 2021,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meeting unless you request and obtain a valid legal proxy from your broker or other agent.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am I voting 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two matters scheduled for a vote:</w:t>
      </w:r>
    </w:p>
    <w:p>
      <w:pPr>
        <w:spacing w:after="0" w:line="220" w:lineRule="exact"/>
        <w:rPr>
          <w:sz w:val="20"/>
          <w:szCs w:val="20"/>
          <w:color w:val="auto"/>
        </w:rPr>
      </w:pPr>
    </w:p>
    <w:p>
      <w:pPr>
        <w:ind w:left="1280" w:hanging="313"/>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elect two Class III directors to hold office until the 2024 Annual Meeting of Stockholders;</w:t>
      </w:r>
    </w:p>
    <w:p>
      <w:pPr>
        <w:spacing w:after="0" w:line="219" w:lineRule="exact"/>
        <w:rPr>
          <w:rFonts w:ascii="Arial" w:cs="Arial" w:eastAsia="Arial" w:hAnsi="Arial"/>
          <w:sz w:val="18"/>
          <w:szCs w:val="18"/>
          <w:color w:val="auto"/>
        </w:rPr>
      </w:pPr>
    </w:p>
    <w:p>
      <w:pPr>
        <w:ind w:left="1280" w:hanging="313"/>
        <w:spacing w:after="0" w:line="270"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ratify the appointment of Baker Tilly Virchow Krause, LLP as the Company’s independent registered public accounting firm for the fiscal year ending December 31, 2021 (the “Auditor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For Proposal No. 1, you may either vote “FOR” the nominee to the Board of Directors or you may “Withhold” your vote for the nominee. For Proposal No. 2, you may vote “FOR” or “AGAINST” or abstain from voting.</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procedures for voting are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If you are a stockholder of record, you may vote at the Annual Meeting, vote by proxy using the enclosed proxy card, vote by proxy via facsimile, email or on the Internet. Whether or not you plan to attend the meeting, we urge you to vote by proxy to ensure your vote is counted. You may still attend the meeting and vote your shares even if you have already voted by proxy.</w:t>
      </w:r>
    </w:p>
    <w:p>
      <w:pPr>
        <w:spacing w:after="0" w:line="186" w:lineRule="exact"/>
        <w:rPr>
          <w:sz w:val="20"/>
          <w:szCs w:val="20"/>
          <w:color w:val="auto"/>
        </w:rPr>
      </w:pPr>
    </w:p>
    <w:p>
      <w:pPr>
        <w:ind w:left="1140" w:right="20" w:hanging="560"/>
        <w:spacing w:after="0" w:line="27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74" w:lineRule="exact"/>
        <w:rPr>
          <w:rFonts w:ascii="Arial" w:cs="Arial" w:eastAsia="Arial" w:hAnsi="Arial"/>
          <w:sz w:val="18"/>
          <w:szCs w:val="18"/>
          <w:color w:val="auto"/>
        </w:rPr>
      </w:pPr>
    </w:p>
    <w:p>
      <w:pPr>
        <w:ind w:left="1140" w:hanging="560"/>
        <w:spacing w:after="0" w:line="27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email, complete, sign and date the enclosed proxy card and scan and email it to [Insert email address]. Your vote must be received by 4:00 PM Eastern Daylight Time (3:00 PM Central Daylight Time) on December 22, 2021, to be counted.</w:t>
      </w:r>
    </w:p>
    <w:p>
      <w:pPr>
        <w:spacing w:after="0" w:line="174" w:lineRule="exact"/>
        <w:rPr>
          <w:rFonts w:ascii="Arial" w:cs="Arial" w:eastAsia="Arial" w:hAnsi="Arial"/>
          <w:sz w:val="18"/>
          <w:szCs w:val="18"/>
          <w:color w:val="auto"/>
        </w:rPr>
      </w:pPr>
    </w:p>
    <w:p>
      <w:pPr>
        <w:ind w:left="1140" w:hanging="560"/>
        <w:spacing w:after="0" w:line="27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facsimile, complete, sign and date the enclosed proxy card and fax it to (303) 282-5800. Your vote must be received by 4:00 PM Eastern Daylight Time (3:00 PM Central Daylight Time) on December 22, 2021, to be counted.</w:t>
      </w:r>
    </w:p>
    <w:p>
      <w:pPr>
        <w:spacing w:after="0" w:line="170" w:lineRule="exact"/>
        <w:rPr>
          <w:rFonts w:ascii="Arial" w:cs="Arial" w:eastAsia="Arial" w:hAnsi="Arial"/>
          <w:sz w:val="18"/>
          <w:szCs w:val="18"/>
          <w:color w:val="auto"/>
        </w:rPr>
      </w:pPr>
    </w:p>
    <w:p>
      <w:pPr>
        <w:jc w:val="both"/>
        <w:ind w:left="1140" w:hanging="560"/>
        <w:spacing w:after="0" w:line="283" w:lineRule="auto"/>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To vote online during the Annual Meeting, visit </w:t>
      </w:r>
      <w:r>
        <w:rPr>
          <w:rFonts w:ascii="Arial" w:cs="Arial" w:eastAsia="Arial" w:hAnsi="Arial"/>
          <w:sz w:val="17"/>
          <w:szCs w:val="17"/>
          <w:b w:val="1"/>
          <w:bCs w:val="1"/>
          <w:color w:val="auto"/>
        </w:rPr>
        <w:t>www.proxypush.com/POAI</w:t>
      </w:r>
      <w:r>
        <w:rPr>
          <w:rFonts w:ascii="Arial" w:cs="Arial" w:eastAsia="Arial" w:hAnsi="Arial"/>
          <w:sz w:val="17"/>
          <w:szCs w:val="17"/>
          <w:color w:val="auto"/>
        </w:rPr>
        <w:t>, be sure to have your Notice of Internet Availability or proxy card available and follow the instructions given on the secure website. You will need the 16-digit control number that is printed in the box marked by the arrow on your Notice of Internet Availability or proxy card to vote online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Voting</w:t>
      </w:r>
    </w:p>
    <w:p>
      <w:pPr>
        <w:spacing w:after="0" w:line="22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We are providing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receive a proxy card and voting instructions with these proxy materials from that organization rather than from us. Simply complete and mail the proxy card to ensure that your vote is submitted to your broker or bank. Alternatively, you may vote over the Internet as instructed by your broker or bank. To vote in real time at the Annual Meeting, you must obtain a valid legal proxy from your broker, bank, or other agent. Follow the instructions from your broker or bank included with these proxy materials or contact your broker or bank to request a proxy form.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many votes do I have?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October 26,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224"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If you return a signed and dated proxy card without marking any voting selections, your shares will be voted “For” Proposal 2 and “For” the directors nominated for re-election in Proposal No.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Company’s proxy solicitor, and who is paying for this proxy solicitation?</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 has retained Regan &amp; Associates, Inc. (“Regan”), an independent proxy solicitation firm, to assist in soliciting proxies on our behalf. We have agreed to pay Regan a fee of $30,000, plus out-of-pocket expenses, for these services. We bear all proxy solicitation costs. If stockholders need assistance with casting or changing their vote, they should contact our proxy solicitor, Regan, at (212) 587-3005.</w:t>
      </w:r>
    </w:p>
    <w:p>
      <w:pPr>
        <w:spacing w:after="0" w:line="18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If you receive more than one proxy card, your shares are registered in more than one name or are registered in different accounts. Please complete, sign and return each proxy card to ensure all your shares are voted.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proxy materials available on the Internet?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proxy statement is available at https://investors.predictive-oncology.com.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175" w:lineRule="exact"/>
        <w:rPr>
          <w:sz w:val="20"/>
          <w:szCs w:val="20"/>
          <w:color w:val="auto"/>
        </w:rPr>
      </w:pPr>
    </w:p>
    <w:p>
      <w:pPr>
        <w:ind w:left="1140" w:hanging="560"/>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may send a written notice to the secretary of the Company before the Annual Meeting stating that you would like to revoke your proxy.</w:t>
      </w:r>
    </w:p>
    <w:p>
      <w:pPr>
        <w:spacing w:after="0" w:line="242" w:lineRule="exact"/>
        <w:rPr>
          <w:rFonts w:ascii="Arial" w:cs="Arial" w:eastAsia="Arial" w:hAnsi="Arial"/>
          <w:sz w:val="16"/>
          <w:szCs w:val="16"/>
          <w:color w:val="auto"/>
        </w:rPr>
      </w:pPr>
    </w:p>
    <w:p>
      <w:pPr>
        <w:ind w:left="1140" w:hanging="560"/>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you have signed and returned a paper proxy card, you may sign a new proxy card bearing a later date and submit it as instructed above.</w:t>
      </w:r>
    </w:p>
    <w:p>
      <w:pPr>
        <w:spacing w:after="0" w:line="242" w:lineRule="exact"/>
        <w:rPr>
          <w:rFonts w:ascii="Arial" w:cs="Arial" w:eastAsia="Arial" w:hAnsi="Arial"/>
          <w:sz w:val="16"/>
          <w:szCs w:val="16"/>
          <w:color w:val="auto"/>
        </w:rPr>
      </w:pPr>
    </w:p>
    <w:p>
      <w:pPr>
        <w:ind w:left="1140" w:hanging="560"/>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have voted by telephone or Internet, you may cast a new vote by telephone or over the Internet as instructed above.</w:t>
      </w:r>
    </w:p>
    <w:p>
      <w:pPr>
        <w:spacing w:after="0" w:line="219" w:lineRule="exact"/>
        <w:rPr>
          <w:rFonts w:ascii="Arial" w:cs="Arial" w:eastAsia="Arial" w:hAnsi="Arial"/>
          <w:sz w:val="18"/>
          <w:szCs w:val="18"/>
          <w:color w:val="auto"/>
        </w:rPr>
      </w:pPr>
    </w:p>
    <w:p>
      <w:pPr>
        <w:ind w:left="1140" w:hanging="560"/>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attend the Annual Meeting to vote in person. Attending the meeting will not, by itself, revoke your proxy.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your shares are held by your broker or bank as a nominee or agent, you should follow the instructions provided by your broker or bank.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are votes counted?</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Votes will be counted by the inspector of election appointed for the meeting for each proposal separately. For Proposal No. 1, the inspector of election will count “FOR,” “WITHHOLD”, abstentions and broker non-votes. For Proposal No. 2, the inspector of election will count “FOR”, “AGAINST” and abstentions. Abstentions will be counted towards the vote total for each proposal and will have the same effect as “Against” votes, except in connection with Proposal No. 2. Broker non-votes have no effect and will not be counted towards the vote total for any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No. You will not be permitted to cumulate your votes for the election of directors. Under Delaware law, stockholders are not entitled to cumulative voting rights unless a corporation’s certificate of incorporation explicitly authorizes such rights. The Company’s certificate of incorporation does not authorize cumulative voting rights for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224"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“routine,” but not with respect to “non-routine” matters. Proposal No. 2 is considered routine under the NYSE rules. All other proposals are matters considered non-routine by the New York Stock Exchange, and therefore, there may be broker non-votes on these proposals.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4" w:lineRule="exact"/>
        <w:rPr>
          <w:sz w:val="20"/>
          <w:szCs w:val="20"/>
          <w:color w:val="auto"/>
        </w:rPr>
      </w:pPr>
    </w:p>
    <w:p>
      <w:pPr>
        <w:ind w:left="640" w:right="80" w:hanging="313"/>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Proposal No. 1, the election of two Class III directors, who are elected by a plurality of the votes of the shares present at the meeting or represented by proxy and entitled to vote on the election of directors, the nominees receiving the most “For” votes will be elected. Only votes “For” or “Withheld” will affect the outcome.</w:t>
      </w:r>
    </w:p>
    <w:p>
      <w:pPr>
        <w:spacing w:after="0" w:line="186" w:lineRule="exact"/>
        <w:rPr>
          <w:rFonts w:ascii="Arial" w:cs="Arial" w:eastAsia="Arial" w:hAnsi="Arial"/>
          <w:sz w:val="18"/>
          <w:szCs w:val="18"/>
          <w:color w:val="auto"/>
        </w:rPr>
      </w:pPr>
    </w:p>
    <w:p>
      <w:pPr>
        <w:ind w:left="640" w:right="80" w:hanging="313"/>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Proposal No. 2, approval of auditors, to be approved, Proposal No. 2 must receive a “For” vote from majority of shares of capital stock of the Company present at the meeting or represented by proxy and entitled to vote on Proposal No. 2. If you “Abstain” from voting, it will have the same effect as an “Against” vote. There will be no broker non-votes on Proposal No.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A quorum of the Company’s stockholders is necessary to hold a valid meeting. A quorum will be present if stockholders holding at least a majority of the outstanding shares are present at the meeting or represented by proxy. On the record date, there were 65,580,870 shares of common stock outstanding and entitled to vote. Thus, the holders of 32,790,436 shares of common stock must be present at the meeting or represented by proxy at the meeting to have a quorum.</w:t>
      </w:r>
    </w:p>
    <w:p>
      <w:pPr>
        <w:spacing w:after="0" w:line="188"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in real time at the meeting. Abstentions and broker non-votes will be counted towards the quorum requirement. If there is no quorum, the holders of a majority of shares present at the meeting or represented by proxy, or the chairman of the meeting, may adjourn the meeting to another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24"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Preliminary voting results will be announced at the Annual Meeting. Final voting results will be published in a Current Report on Form 8-K, which we will file within four business days after the Annual Meeting.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When are stockholder proposals due for the 2022 Annual Meeting?</w:t>
      </w:r>
    </w:p>
    <w:p>
      <w:pPr>
        <w:spacing w:after="0" w:line="224"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If you would like to submit a proposal for us to include in the proxy statement for the 2022 Annual Meeting of Stockholders, you must comply with Rule 14a-8 under the Exchange Act and the advance notice provisions of our Amended and Restated Bylaws. You must also make sure that we receive your proposal at our executive offices (sent c/o Secretary) by July 8, 2022, if the Annual Meeting is held within 30 days of December 23, 2022. If the Annual Meeting is not held within 30 days of such date, then the Company will disclose the deadline for such proposals, if different. Any stockholder proposal included in our proxy statement will also be included on our form of proxy so that stockholders can indicate how they wish to vote their shares on the proposal.</w:t>
      </w:r>
    </w:p>
    <w:p>
      <w:pPr>
        <w:spacing w:after="0" w:line="19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If you would like to recommend a person for consideration as a nominee for election as a director at the 2022 Annual Meeting of Stockholders, you must comply with the advance notice provisions of our Second Amended and Restated Bylaws. These provisions require that we receive your nomination at our executive offices (sent c/o Secretary) no earlier than September 24, 2022 and no later than October 24, 2022.</w:t>
      </w:r>
    </w:p>
    <w:p>
      <w:pPr>
        <w:spacing w:after="0" w:line="16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If you would like to present a proposal at the 2022 Annual Meeting of Stockholders without including it in our proxy statement, you must comply with the advance notice provisions of our Second Amended and Restated Bylaws. These provisions require that we receive your proposal at our executive offices (sent c/o Secretary) no earlier than September 24, 2022 and no later than October 24, 2022. If the Annual Meeting is not held within 30 days of such date, then the Company will disclose the deadline for such proposals, if different.</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If the presiding officer at the 2022 Annual Meeting of Stockholders determines that a stockholder proposal or stockholder director nomination was not submitted in compliance with the advance notice provisions of our Second Amended and Restated Bylaws, the proposal or nomination will be ruled out of order and not acted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NO. 1: ELECTION OF DIRECTORS</w:t>
      </w:r>
    </w:p>
    <w:p>
      <w:pPr>
        <w:spacing w:after="0" w:line="224"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auto"/>
        </w:rPr>
        <w:t>The Board of Directors shall be comprised of such number of directors as determined by the Board, and directors need not be stockholders of the Company. The Board is divided into three classes, and one class is elected each year at the Annual Meeting of Stockholders for a term of three years. Vacancies on the Board may be filled only by persons elected by a majority of the remaining directors. A director elected by the Board to fill a vacancy shall serve for the remainder of the full term and until the director’s successor is elected and qualified.</w:t>
      </w:r>
    </w:p>
    <w:p>
      <w:pPr>
        <w:spacing w:after="0" w:line="17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directors of the Company do not have a definite term of office and each director serves until his or her successor is elected and duly qualified. The Board has established a Nominating and Governance Committee which considers director candidates, including those recommended by stockholders, and recommends candidates to the full Board for approval. To nominate a director, stockholders must submit such nomination in writing to our Secretary at 2915 Commers Drive, Suite 900, Eagan, Minnesota 55121.</w:t>
      </w:r>
    </w:p>
    <w:p>
      <w:pPr>
        <w:spacing w:after="0" w:line="188"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terms of the Class III directors are scheduled to expire on the date of the upcoming Annual Meeting. Based on the recommendation of the Nominating and Governance Committee, the Board’s nominees for election by the stockholders are Christina L. Jenkins, MD and Raymond F. Vennare. If elected, the nominees will serve as directors until the 2024 Annual Meeting of Stockholders and until his/her successor is duly elected and qualified, or until his/her earlier death, resignation, or removal.</w:t>
      </w:r>
    </w:p>
    <w:p>
      <w:pPr>
        <w:spacing w:after="0" w:line="188"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Set forth below are the biographies of each director, as well as a discussion of the experience, qualifications, attributes and skills that led the Board to conclude that each person nominated to serve or currently serving on the Board should serve as a director. In addition to the information presented below, we believe that the nominee meets the minimum qualifications established by the Nominating and Governance Committee.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1080"/>
              <w:spacing w:after="0"/>
              <w:rPr>
                <w:sz w:val="20"/>
                <w:szCs w:val="20"/>
                <w:color w:val="auto"/>
              </w:rPr>
            </w:pPr>
            <w:r>
              <w:rPr>
                <w:rFonts w:ascii="Arial" w:cs="Arial" w:eastAsia="Arial" w:hAnsi="Arial"/>
                <w:sz w:val="18"/>
                <w:szCs w:val="18"/>
                <w:b w:val="1"/>
                <w:bCs w:val="1"/>
                <w:color w:val="auto"/>
              </w:rPr>
              <w:t>Name</w:t>
            </w:r>
          </w:p>
        </w:tc>
        <w:tc>
          <w:tcPr>
            <w:tcW w:w="2460" w:type="dxa"/>
            <w:vAlign w:val="bottom"/>
          </w:tcPr>
          <w:p>
            <w:pPr>
              <w:ind w:left="1460"/>
              <w:spacing w:after="0"/>
              <w:rPr>
                <w:sz w:val="20"/>
                <w:szCs w:val="20"/>
                <w:color w:val="auto"/>
              </w:rPr>
            </w:pPr>
            <w:r>
              <w:rPr>
                <w:rFonts w:ascii="Arial" w:cs="Arial" w:eastAsia="Arial" w:hAnsi="Arial"/>
                <w:sz w:val="18"/>
                <w:szCs w:val="18"/>
                <w:b w:val="1"/>
                <w:bCs w:val="1"/>
                <w:color w:val="auto"/>
              </w:rPr>
              <w:t>Age (1)</w:t>
            </w:r>
          </w:p>
        </w:tc>
        <w:tc>
          <w:tcPr>
            <w:tcW w:w="3220" w:type="dxa"/>
            <w:vAlign w:val="bottom"/>
          </w:tcPr>
          <w:p>
            <w:pPr>
              <w:ind w:left="460"/>
              <w:spacing w:after="0"/>
              <w:rPr>
                <w:sz w:val="20"/>
                <w:szCs w:val="20"/>
                <w:color w:val="auto"/>
              </w:rPr>
            </w:pPr>
            <w:r>
              <w:rPr>
                <w:rFonts w:ascii="Arial" w:cs="Arial" w:eastAsia="Arial" w:hAnsi="Arial"/>
                <w:sz w:val="18"/>
                <w:szCs w:val="18"/>
                <w:b w:val="1"/>
                <w:bCs w:val="1"/>
                <w:color w:val="auto"/>
              </w:rPr>
              <w:t>Position</w:t>
            </w:r>
          </w:p>
        </w:tc>
      </w:tr>
      <w:tr>
        <w:trPr>
          <w:trHeight w:val="414"/>
        </w:trPr>
        <w:tc>
          <w:tcPr>
            <w:tcW w:w="3720" w:type="dxa"/>
            <w:vAlign w:val="bottom"/>
          </w:tcPr>
          <w:p>
            <w:pPr>
              <w:spacing w:after="0"/>
              <w:rPr>
                <w:sz w:val="20"/>
                <w:szCs w:val="20"/>
                <w:color w:val="auto"/>
              </w:rPr>
            </w:pPr>
            <w:r>
              <w:rPr>
                <w:rFonts w:ascii="Arial" w:cs="Arial" w:eastAsia="Arial" w:hAnsi="Arial"/>
                <w:sz w:val="18"/>
                <w:szCs w:val="18"/>
                <w:color w:val="auto"/>
              </w:rPr>
              <w:t>J. Melville Engle</w:t>
            </w:r>
          </w:p>
        </w:tc>
        <w:tc>
          <w:tcPr>
            <w:tcW w:w="2460" w:type="dxa"/>
            <w:vAlign w:val="bottom"/>
          </w:tcPr>
          <w:p>
            <w:pPr>
              <w:ind w:left="1460"/>
              <w:spacing w:after="0"/>
              <w:rPr>
                <w:sz w:val="20"/>
                <w:szCs w:val="20"/>
                <w:color w:val="auto"/>
              </w:rPr>
            </w:pPr>
            <w:r>
              <w:rPr>
                <w:rFonts w:ascii="Arial" w:cs="Arial" w:eastAsia="Arial" w:hAnsi="Arial"/>
                <w:sz w:val="18"/>
                <w:szCs w:val="18"/>
                <w:color w:val="auto"/>
              </w:rPr>
              <w:t>71</w:t>
            </w:r>
          </w:p>
        </w:tc>
        <w:tc>
          <w:tcPr>
            <w:tcW w:w="3220" w:type="dxa"/>
            <w:vAlign w:val="bottom"/>
          </w:tcPr>
          <w:p>
            <w:pPr>
              <w:ind w:left="460"/>
              <w:spacing w:after="0"/>
              <w:rPr>
                <w:sz w:val="20"/>
                <w:szCs w:val="20"/>
                <w:color w:val="auto"/>
              </w:rPr>
            </w:pPr>
            <w:r>
              <w:rPr>
                <w:rFonts w:ascii="Arial" w:cs="Arial" w:eastAsia="Arial" w:hAnsi="Arial"/>
                <w:sz w:val="18"/>
                <w:szCs w:val="18"/>
                <w:color w:val="auto"/>
                <w:w w:val="90"/>
              </w:rPr>
              <w:t>Director, CEO, Chairman of the Board</w:t>
            </w: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Daniel E. Handley, M.S., Ph.D.</w:t>
            </w:r>
          </w:p>
        </w:tc>
        <w:tc>
          <w:tcPr>
            <w:tcW w:w="2460" w:type="dxa"/>
            <w:vAlign w:val="bottom"/>
          </w:tcPr>
          <w:p>
            <w:pPr>
              <w:ind w:left="1460"/>
              <w:spacing w:after="0"/>
              <w:rPr>
                <w:sz w:val="20"/>
                <w:szCs w:val="20"/>
                <w:color w:val="auto"/>
              </w:rPr>
            </w:pPr>
            <w:r>
              <w:rPr>
                <w:rFonts w:ascii="Arial" w:cs="Arial" w:eastAsia="Arial" w:hAnsi="Arial"/>
                <w:sz w:val="18"/>
                <w:szCs w:val="18"/>
                <w:color w:val="auto"/>
              </w:rPr>
              <w:t>61</w:t>
            </w:r>
          </w:p>
        </w:tc>
        <w:tc>
          <w:tcPr>
            <w:tcW w:w="322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Gregory S. St. Clair, Sr.</w:t>
            </w:r>
          </w:p>
        </w:tc>
        <w:tc>
          <w:tcPr>
            <w:tcW w:w="2460" w:type="dxa"/>
            <w:vAlign w:val="bottom"/>
          </w:tcPr>
          <w:p>
            <w:pPr>
              <w:ind w:left="1460"/>
              <w:spacing w:after="0"/>
              <w:rPr>
                <w:sz w:val="20"/>
                <w:szCs w:val="20"/>
                <w:color w:val="auto"/>
              </w:rPr>
            </w:pPr>
            <w:r>
              <w:rPr>
                <w:rFonts w:ascii="Arial" w:cs="Arial" w:eastAsia="Arial" w:hAnsi="Arial"/>
                <w:sz w:val="18"/>
                <w:szCs w:val="18"/>
                <w:color w:val="auto"/>
              </w:rPr>
              <w:t>55</w:t>
            </w:r>
          </w:p>
        </w:tc>
        <w:tc>
          <w:tcPr>
            <w:tcW w:w="322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Chuck Nuzum</w:t>
            </w:r>
          </w:p>
        </w:tc>
        <w:tc>
          <w:tcPr>
            <w:tcW w:w="2460" w:type="dxa"/>
            <w:vAlign w:val="bottom"/>
          </w:tcPr>
          <w:p>
            <w:pPr>
              <w:ind w:left="1460"/>
              <w:spacing w:after="0"/>
              <w:rPr>
                <w:sz w:val="20"/>
                <w:szCs w:val="20"/>
                <w:color w:val="auto"/>
              </w:rPr>
            </w:pPr>
            <w:r>
              <w:rPr>
                <w:rFonts w:ascii="Arial" w:cs="Arial" w:eastAsia="Arial" w:hAnsi="Arial"/>
                <w:sz w:val="18"/>
                <w:szCs w:val="18"/>
                <w:color w:val="auto"/>
              </w:rPr>
              <w:t>73</w:t>
            </w:r>
          </w:p>
        </w:tc>
        <w:tc>
          <w:tcPr>
            <w:tcW w:w="322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Nancy Chung-Welch, Ph.D.</w:t>
            </w:r>
          </w:p>
        </w:tc>
        <w:tc>
          <w:tcPr>
            <w:tcW w:w="2460" w:type="dxa"/>
            <w:vAlign w:val="bottom"/>
          </w:tcPr>
          <w:p>
            <w:pPr>
              <w:ind w:left="1460"/>
              <w:spacing w:after="0"/>
              <w:rPr>
                <w:sz w:val="20"/>
                <w:szCs w:val="20"/>
                <w:color w:val="auto"/>
              </w:rPr>
            </w:pPr>
            <w:r>
              <w:rPr>
                <w:rFonts w:ascii="Arial" w:cs="Arial" w:eastAsia="Arial" w:hAnsi="Arial"/>
                <w:sz w:val="18"/>
                <w:szCs w:val="18"/>
                <w:color w:val="auto"/>
              </w:rPr>
              <w:t>61</w:t>
            </w:r>
          </w:p>
        </w:tc>
        <w:tc>
          <w:tcPr>
            <w:tcW w:w="322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Raymond F. Vennare</w:t>
            </w:r>
          </w:p>
        </w:tc>
        <w:tc>
          <w:tcPr>
            <w:tcW w:w="2460" w:type="dxa"/>
            <w:vAlign w:val="bottom"/>
          </w:tcPr>
          <w:p>
            <w:pPr>
              <w:ind w:left="1460"/>
              <w:spacing w:after="0"/>
              <w:rPr>
                <w:sz w:val="20"/>
                <w:szCs w:val="20"/>
                <w:color w:val="auto"/>
              </w:rPr>
            </w:pPr>
            <w:r>
              <w:rPr>
                <w:rFonts w:ascii="Arial" w:cs="Arial" w:eastAsia="Arial" w:hAnsi="Arial"/>
                <w:sz w:val="18"/>
                <w:szCs w:val="18"/>
                <w:color w:val="auto"/>
              </w:rPr>
              <w:t>69</w:t>
            </w:r>
          </w:p>
        </w:tc>
        <w:tc>
          <w:tcPr>
            <w:tcW w:w="322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6"/>
        </w:trPr>
        <w:tc>
          <w:tcPr>
            <w:tcW w:w="3720" w:type="dxa"/>
            <w:vAlign w:val="bottom"/>
          </w:tcPr>
          <w:p>
            <w:pPr>
              <w:spacing w:after="0"/>
              <w:rPr>
                <w:sz w:val="20"/>
                <w:szCs w:val="20"/>
                <w:color w:val="auto"/>
              </w:rPr>
            </w:pPr>
            <w:r>
              <w:rPr>
                <w:rFonts w:ascii="Arial" w:cs="Arial" w:eastAsia="Arial" w:hAnsi="Arial"/>
                <w:sz w:val="18"/>
                <w:szCs w:val="18"/>
                <w:color w:val="auto"/>
              </w:rPr>
              <w:t>Christina Jenkins, M.D.</w:t>
            </w:r>
          </w:p>
        </w:tc>
        <w:tc>
          <w:tcPr>
            <w:tcW w:w="2460" w:type="dxa"/>
            <w:vAlign w:val="bottom"/>
          </w:tcPr>
          <w:p>
            <w:pPr>
              <w:ind w:left="1460"/>
              <w:spacing w:after="0"/>
              <w:rPr>
                <w:sz w:val="20"/>
                <w:szCs w:val="20"/>
                <w:color w:val="auto"/>
              </w:rPr>
            </w:pPr>
            <w:r>
              <w:rPr>
                <w:rFonts w:ascii="Arial" w:cs="Arial" w:eastAsia="Arial" w:hAnsi="Arial"/>
                <w:sz w:val="18"/>
                <w:szCs w:val="18"/>
                <w:color w:val="auto"/>
              </w:rPr>
              <w:t>50</w:t>
            </w:r>
          </w:p>
        </w:tc>
        <w:tc>
          <w:tcPr>
            <w:tcW w:w="3220" w:type="dxa"/>
            <w:vAlign w:val="bottom"/>
          </w:tcPr>
          <w:p>
            <w:pPr>
              <w:ind w:left="4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As of the date of this proxy statement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III Directors for a Three-Year Term Ending at the 2024 Annual Meeting</w:t>
      </w:r>
    </w:p>
    <w:p>
      <w:pPr>
        <w:spacing w:after="0" w:line="224"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b w:val="1"/>
          <w:bCs w:val="1"/>
          <w:i w:val="1"/>
          <w:iCs w:val="1"/>
          <w:color w:val="auto"/>
        </w:rPr>
        <w:t xml:space="preserve">Christina Jenkins, M.D. </w:t>
      </w:r>
      <w:r>
        <w:rPr>
          <w:rFonts w:ascii="Arial" w:cs="Arial" w:eastAsia="Arial" w:hAnsi="Arial"/>
          <w:sz w:val="16"/>
          <w:szCs w:val="16"/>
          <w:color w:val="auto"/>
        </w:rPr>
        <w:t>was appointed to the Board on April 21, 2021 Dr. Jenkins is a strategic advisor and venture investor whose expertise spans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medicine, venture capital, health systems and health plans. She applies her unique perspective of providers, payers and consumers to help leaders optimize growth and health outcomes. Currently, Dr. Jenkins is a Venture Partner at Phoenix Venture Partners (PVP), where she co-leads the firm’s seed-stage investment strategy in the healthcare/life sciences vertical. She is focused on hardware-enabled platform companies that are transforming the way we diagnose, monitor and treat health conditions. Dr. Jenkins also leads investments for Portfolia, Inc.’s FemTech and Active Aging and Longevity funds, focusing on evidence-backed digital health and device companies targeting the health of women. She also is a director of Independence Health Group (the parent company of Independence Blue Cross and AmeriHealth Caritas), a board of directors observer at Madorra Inc., and an advisory board member of multiple value-generating healthcare companies. Dr. Jenkins is also a member of the Kauffman Fellows, a global leadership program in venture capital, completing her fellowship at New Enterprise Associates. Previously, she was the founding CEO of OneCity Health Services, a subsidiary of NYC Health + Hospitals, building a team from two to 130 and leading a successful $1.2 billion effort to design and implement technology-enabled care models and accelerate value-based payment (financial risk) readiness for one million lives. She was also a Clinical Instructor in Internal Medicine at Mount Sinai Medical Center in New York City, and began her career as a financial analyst (FMP) with GE Healthcare. She earned her M.D. from Northwestern University Medical School, where she was Class President, and her B.S. in Industrial Management at Purdue University.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0" w:name="page11"/>
    <w:bookmarkEnd w:id="10"/>
    <w:p>
      <w:pPr>
        <w:jc w:val="both"/>
        <w:ind w:firstLine="640"/>
        <w:spacing w:after="0" w:line="283" w:lineRule="auto"/>
        <w:rPr>
          <w:sz w:val="20"/>
          <w:szCs w:val="20"/>
          <w:color w:val="auto"/>
        </w:rPr>
      </w:pPr>
      <w:r>
        <w:rPr>
          <w:rFonts w:ascii="Arial" w:cs="Arial" w:eastAsia="Arial" w:hAnsi="Arial"/>
          <w:sz w:val="16"/>
          <w:szCs w:val="16"/>
          <w:b w:val="1"/>
          <w:bCs w:val="1"/>
          <w:i w:val="1"/>
          <w:iCs w:val="1"/>
          <w:color w:val="auto"/>
        </w:rPr>
        <w:t xml:space="preserve">Raymond F. Vennare </w:t>
      </w:r>
      <w:r>
        <w:rPr>
          <w:rFonts w:ascii="Arial" w:cs="Arial" w:eastAsia="Arial" w:hAnsi="Arial"/>
          <w:sz w:val="16"/>
          <w:szCs w:val="16"/>
          <w:color w:val="auto"/>
        </w:rPr>
        <w:t>was appointed to the Board on September 13, 2021. Mr. Vennare brings more than thirty years of experience to his work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and CEO of Cvergenx, Inc., a genomic informatics company developing decision-support tools for radiation oncology, and since 2019 has been on the Board of Directors of Cvergenx Technologies India Private, Ltd.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Continuing in Office Until the 2022 Annual Meeting</w:t>
      </w:r>
    </w:p>
    <w:p>
      <w:pPr>
        <w:spacing w:after="0" w:line="22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b w:val="1"/>
          <w:bCs w:val="1"/>
          <w:i w:val="1"/>
          <w:iCs w:val="1"/>
          <w:color w:val="auto"/>
        </w:rPr>
        <w:t xml:space="preserve">Daniel E. Handley M.S., Ph.D. </w:t>
      </w:r>
      <w:r>
        <w:rPr>
          <w:rFonts w:ascii="Arial" w:cs="Arial" w:eastAsia="Arial" w:hAnsi="Arial"/>
          <w:sz w:val="17"/>
          <w:szCs w:val="17"/>
          <w:color w:val="auto"/>
        </w:rPr>
        <w:t>Dr. Handley was appointed to the Board on February 19, 2020. He serves as a Professor and the Director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spacing w:after="0" w:line="182"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b w:val="1"/>
          <w:bCs w:val="1"/>
          <w:i w:val="1"/>
          <w:iCs w:val="1"/>
          <w:color w:val="auto"/>
        </w:rPr>
        <w:t>Chuck Nuzum</w:t>
      </w:r>
      <w:r>
        <w:rPr>
          <w:rFonts w:ascii="Arial" w:cs="Arial" w:eastAsia="Arial" w:hAnsi="Arial"/>
          <w:sz w:val="17"/>
          <w:szCs w:val="17"/>
          <w:color w:val="auto"/>
        </w:rPr>
        <w:t>. Mr. Nuzum was appointed to the Board on July 9, 2020. He has extensive experience as a CFO that ranges from private start-ups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 publicly 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Continuing in Office Until the 2023 Annual Meeting</w:t>
      </w:r>
    </w:p>
    <w:p>
      <w:pPr>
        <w:spacing w:after="0" w:line="224"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b w:val="1"/>
          <w:bCs w:val="1"/>
          <w:i w:val="1"/>
          <w:iCs w:val="1"/>
          <w:color w:val="auto"/>
        </w:rPr>
        <w:t>J. Melville Engle</w:t>
      </w:r>
      <w:r>
        <w:rPr>
          <w:rFonts w:ascii="Arial" w:cs="Arial" w:eastAsia="Arial" w:hAnsi="Arial"/>
          <w:sz w:val="17"/>
          <w:szCs w:val="17"/>
          <w:color w:val="auto"/>
        </w:rPr>
        <w:t>. Mr. Engle was appointed to the Board on October 27, 2016 and became Chairman of the Board on April 3, 2020. He became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CEO on March 19, 2021. Mr. Engle has worked in the healthcare industry for the past three decades. Since 2012, he has served as President and Chief Executive Officer of Engle Strategic Solutions, a consulting company focused on CEO development and coaching, senior management consulting, corporate problem solving and strategic and operational planning. He was Chairman of the Board of Windgap Medical, Inc., and has held executive positions at prominent companies including Chairman and Chief Executive Officer at ThermoGenesis Corp., Regional Head/Director, North America at Merck Generics, President and Chief Executive Officer of Dey, L.P. and CFO, at Allergan, Inc. In addition to ThermoGenesis, he has served on the Board of Directors of several public companies, including Oxygen Biotherapeutics and Anika Therapeutics where he was Lead Independent Director and Chairman of the Board, respectively. Mr. Engle holds a BS in Accounting from the University of Colorado and an MBA in Finance from the University of Southern California. He has served as a Trustee of the Queen of the Valley Medical Center Foundation, was a Board Member of the Napa Valley Community Foundation, and at the Napa College Foundation. He was also Vice Chair of the Thunderbird Global Council at the Thunderbird School of Global Management in Glendale, Arizona.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jc w:val="both"/>
        <w:ind w:firstLine="640"/>
        <w:spacing w:after="0" w:line="289" w:lineRule="auto"/>
        <w:rPr>
          <w:sz w:val="20"/>
          <w:szCs w:val="20"/>
          <w:color w:val="auto"/>
        </w:rPr>
      </w:pPr>
      <w:r>
        <w:rPr>
          <w:rFonts w:ascii="Arial" w:cs="Arial" w:eastAsia="Arial" w:hAnsi="Arial"/>
          <w:sz w:val="16"/>
          <w:szCs w:val="16"/>
          <w:b w:val="1"/>
          <w:bCs w:val="1"/>
          <w:i w:val="1"/>
          <w:iCs w:val="1"/>
          <w:color w:val="auto"/>
        </w:rPr>
        <w:t xml:space="preserve">Gregory S. St.Clair, Sr. </w:t>
      </w:r>
      <w:r>
        <w:rPr>
          <w:rFonts w:ascii="Arial" w:cs="Arial" w:eastAsia="Arial" w:hAnsi="Arial"/>
          <w:sz w:val="16"/>
          <w:szCs w:val="16"/>
          <w:color w:val="auto"/>
        </w:rPr>
        <w:t>Mr. St.Clair was appointed to the Board on July 9, 2020. He is the Founder and Managing Member of SunStone Consulting,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 healthcare consulting firm that has served healthcare providers throughout the United States since 2002. As frequently sought experts on issues related to compliance, reimbursement and revenue integrity, Mr. St.Clair and his team are constantly on-call to assist clients as they address financial challenges through creative solutions to the nation’s health systems. He is a nationally recognized expert by government regulators and health law attorneys regarding reimbursement and compliance matters. Previously, Mr. St.Clair worked as a national vice president for CGI, ImrGlobal, and Orion Consulting and as national director for Coopers &amp; Lybrand. He holds a B.A. in Accounting and Finance from Juniata College in Huntington, Pennsylvania.</w:t>
      </w:r>
    </w:p>
    <w:p>
      <w:pPr>
        <w:spacing w:after="0" w:line="165"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b w:val="1"/>
          <w:bCs w:val="1"/>
          <w:i w:val="1"/>
          <w:iCs w:val="1"/>
          <w:color w:val="auto"/>
        </w:rPr>
        <w:t xml:space="preserve">Nancy Chung-Welch, Ph.D. </w:t>
      </w:r>
      <w:r>
        <w:rPr>
          <w:rFonts w:ascii="Arial" w:cs="Arial" w:eastAsia="Arial" w:hAnsi="Arial"/>
          <w:sz w:val="16"/>
          <w:szCs w:val="16"/>
          <w:color w:val="auto"/>
        </w:rPr>
        <w:t>Dr. Chung-Welch was appointed to the Board on July 9, 2020. She is currently an independent consultant advising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4"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Directors are elected by a plurality of the votes of the shares present at the meeting or represented by proxy and entitled to vote on the election of directors at the Annual Meeting. The nominees receiving the most “For” votes (among votes properly cast in real time at the virtual meeting or by proxy) will be elected. If no contrary indication is made, shares represented by executed proxies will be voted “For” the election of the nominees named above or, if any nominee becomes unavailable for election as a result of an unexpected occurrence, “For” the election of a substitute nominee designated by the Board. The nominees have agreed to serve as directors if elected, and the Company has no reason to believe that the nominees will be unable to serve.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proposal for the election of directors relates solely to the election of the Class III directors nominated by the Board of Directors.</w:t>
      </w:r>
    </w:p>
    <w:p>
      <w:pPr>
        <w:spacing w:after="0" w:line="216" w:lineRule="exact"/>
        <w:rPr>
          <w:sz w:val="20"/>
          <w:szCs w:val="20"/>
          <w:color w:val="auto"/>
        </w:rPr>
      </w:pPr>
    </w:p>
    <w:p>
      <w:pPr>
        <w:jc w:val="both"/>
        <w:ind w:right="20" w:firstLine="640"/>
        <w:spacing w:after="0" w:line="274" w:lineRule="auto"/>
        <w:rPr>
          <w:sz w:val="20"/>
          <w:szCs w:val="20"/>
          <w:color w:val="auto"/>
        </w:rPr>
      </w:pPr>
      <w:r>
        <w:rPr>
          <w:rFonts w:ascii="Arial" w:cs="Arial" w:eastAsia="Arial" w:hAnsi="Arial"/>
          <w:sz w:val="18"/>
          <w:szCs w:val="18"/>
          <w:b w:val="1"/>
          <w:bCs w:val="1"/>
          <w:color w:val="auto"/>
        </w:rPr>
        <w:t>THE PREDICTIVE BOARD UNANIMOUSLY RECOMMENDS THAT YOU VOTE IN FAVOR OF THE CLASS III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 w:name="page13"/>
    <w:bookmarkEnd w:id="12"/>
    <w:p>
      <w:pPr>
        <w:ind w:left="168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Under NASDAQ listing standards, a majority of the members of a listed company’s Board of Directors must qualify as “independent,” as affirmatively determined by the board of directors. The Board of Directors consults with our counsel to ensure that the Board of Directors’ determinations are consistent with relevant securities and other laws and regulations regarding the definition of “independent,” including those set forth in pertinent listing standards of the NASDAQ, as in effect from time to time.</w:t>
      </w:r>
    </w:p>
    <w:p>
      <w:pPr>
        <w:spacing w:after="0" w:line="18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the Company, its senior management, and its independent registered public accounting firm, the Board of Directors has affirmatively determined that Chuck Nuzum, Nancy Chung-Welch, Ph.D., Greg St. Clair, Dan Handley, Ph.D., Christina L. Jenkins, MD and Raymond F. Vennare are independent directors within the meaning of the NASDAQ listing standards. In making this determination, the Board of Directors found that none of these directors and nominees had a material or other disqualifying relationship with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224"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Prior to March 19, 2021, J. Melville Engle had served as independent Board Chair since 2016. On March 19, 2021, Mr. Engle became the Company’s Chief Executive Officer and was no longer considered an independent director. The Board determined that it would be in the Company’s best interests to retain Mr. Engle as Board Chair. In April 2021, the Board appointed Chuck Nuzum as lead independent director.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224"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Board-level risk oversight is primarily performed by our full Board, although the Audit Committee oversees our internal controls and regularly assesses financial and accounting processes and risks. Our risk oversight process includes an ongoing dialogue between management and the Board and the Audit Committee, intended to identify and analyze risks that face the Company. Through these discussions with management and their own business experience and knowledge, our directors are able to identify material risks for which a full analysis and risk mitigation plans may be necessary. The Board (or the Audit Committee, with respect to risks related to internal controls, financial and accounting matters) monitors risk mitigation action plans developed by management, to ensure such plans are implemented and are effective in reducing the targeted risk.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November 14, 2008, the Board adopted the Code of Ethics of Predictive Oncology Inc. that applies to all officers, directors and employees of the Company. We intend to maintain the highest standards of ethical business practices and compliance with all laws and regulations applicable to our business. The Code of Ethics is available in print to any stockholder requesting a copy in writing from our Corporate Secretary at our executive office set forth on the cover page of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Stockholders may send communications to the Company’s Board of Directors, or to any individual Board member, by means of a letter to such individual Board member or the entire Board addressed to:</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of Directors (or named Board member)</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Predictive Oncology Inc.</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Chief Financial Officer</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2915 Commers Drive, Suite 900</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Eagan, Minnesota 55121</w:t>
      </w:r>
    </w:p>
    <w:p>
      <w:pPr>
        <w:spacing w:after="0" w:line="20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If a stockholder is unsure as to which category the concern relates, the stockholder may communicate it to any one of the independent directors in care of Chief Financial Officer at the address of our principal executive offices listed above. All stockholder communications sent in care of our Chief Financial Officer will be forwarded promptly to the applicable director(s).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Board of Directors met twelve times during the fiscal year ended December 31, 2020. During that fiscal year, all directors attended at least 75% of the aggregate of the meetings of the Board of Directors and of the committees on which they served, and which were held during the period for which they were directors or committee members. In addition, the directors often communicate informally to discuss the affairs of the Company and, when appropriate, take formal action by written consent, in accordance with the Company’s Certificate of Incorporation, as amended, its Second Amended and Restated Bylaws and Delaware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During the fiscal year ended December 31, 2020, the Board of Directors maintained four committees: The Audit Committee, the Compensation Committee, the Nominating and Governance Committee and the Merger &amp; Acquisition Committee. Below is a description of each committee of the Board of Directors as these committees are presently constituted. The Board of Directors has determined that each current member of each committee meets the applicable SEC and NASDAQ rules and regulations regarding “independence” and that each member is free of any relationship that would impair his or her individual exercise of independent judgment with regards to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of the Board; Audit Committee Financial Expert</w:t>
      </w:r>
    </w:p>
    <w:p>
      <w:pPr>
        <w:spacing w:after="0" w:line="224"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functions of the Audit Committee include, among other things:</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serving as an independent and objective party to monitor the Company’s financial reporting process and internal control system;</w:t>
      </w:r>
    </w:p>
    <w:p>
      <w:pPr>
        <w:spacing w:after="0" w:line="231" w:lineRule="exact"/>
        <w:rPr>
          <w:sz w:val="20"/>
          <w:szCs w:val="20"/>
          <w:color w:val="auto"/>
        </w:rPr>
      </w:pPr>
    </w:p>
    <w:p>
      <w:pPr>
        <w:jc w:val="both"/>
        <w:ind w:left="1280"/>
        <w:spacing w:after="0" w:line="258" w:lineRule="auto"/>
        <w:rPr>
          <w:sz w:val="20"/>
          <w:szCs w:val="20"/>
          <w:color w:val="auto"/>
        </w:rPr>
      </w:pPr>
      <w:r>
        <w:rPr>
          <w:rFonts w:ascii="Arial" w:cs="Arial" w:eastAsia="Arial" w:hAnsi="Arial"/>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86" w:lineRule="exact"/>
        <w:rPr>
          <w:sz w:val="20"/>
          <w:szCs w:val="20"/>
          <w:color w:val="auto"/>
        </w:rPr>
      </w:pPr>
    </w:p>
    <w:p>
      <w:pPr>
        <w:jc w:val="both"/>
        <w:ind w:left="1280"/>
        <w:spacing w:after="0" w:line="270" w:lineRule="auto"/>
        <w:rPr>
          <w:sz w:val="20"/>
          <w:szCs w:val="20"/>
          <w:color w:val="auto"/>
        </w:rPr>
      </w:pPr>
      <w:r>
        <w:rPr>
          <w:rFonts w:ascii="Arial" w:cs="Arial" w:eastAsia="Arial" w:hAnsi="Arial"/>
          <w:sz w:val="18"/>
          <w:szCs w:val="18"/>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Both our independent registered public accounting firm and management periodically meet privately with the Audit Committee.</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Our Audit Committee currently consists of Mr. Nuzum, as the chairperson, Dr. Chung-Welch and Mr. St. Clair. During 2020, the Audit Committee chairperson was Ms. Pamela Prior, who was replaced on the committee and as chairperson by Mr. Nuzum in July 2020. Each Audit Committee member is a non-employee director of the Board. The Board of Directors reviews the NASDAQ listing standards definition of independence for Audit Committee members on an annual basis and has determined that all current members of our Audit Committee are independent (as independence is currently defined in Rule 5605(a)(2) of the NASDAQ listing standards). The Audit Committee met six times in fiscal year 2020.</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Compensation Committee</w:t>
      </w:r>
    </w:p>
    <w:p>
      <w:pPr>
        <w:spacing w:after="0" w:line="22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Compensation Committee of the Board of Directors currently consists of two directors, Mr. Nuzum, as the chairperson, and Dr. Chung-Welch. All members of the Compensation Committee were appointed by the Board of Directors, and such committee consists entirely of directors who are “outside directors” for purposes of Section 162(m) of the Internal Revenue Code of 1986, as amended (the “Code”), “non-employee directors” for purposes of Rule 16b-3 under the Exchange Act and “independent” as independence is currently defined in Rule 4200(a)(15) of the NASDAQ listing standards. In fiscal 2020, the Compensation Committee met eight times.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functions of the Compensation Committee include, among other things:</w:t>
      </w:r>
    </w:p>
    <w:p>
      <w:pPr>
        <w:spacing w:after="0" w:line="220" w:lineRule="exact"/>
        <w:rPr>
          <w:sz w:val="20"/>
          <w:szCs w:val="20"/>
          <w:color w:val="auto"/>
        </w:rPr>
      </w:pPr>
    </w:p>
    <w:p>
      <w:pPr>
        <w:ind w:left="1280" w:right="360" w:hanging="633"/>
        <w:spacing w:after="0" w:line="270"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the annual compensation packages, including base salaries, incentive compensation, deferred compensation and stock-based compensation, for our executive officers;</w:t>
      </w:r>
    </w:p>
    <w:p>
      <w:pPr>
        <w:spacing w:after="0" w:line="174" w:lineRule="exact"/>
        <w:rPr>
          <w:rFonts w:ascii="Arial" w:cs="Arial" w:eastAsia="Arial" w:hAnsi="Arial"/>
          <w:sz w:val="18"/>
          <w:szCs w:val="18"/>
          <w:color w:val="auto"/>
        </w:rPr>
      </w:pPr>
    </w:p>
    <w:p>
      <w:pPr>
        <w:ind w:left="1280" w:right="280" w:hanging="633"/>
        <w:spacing w:after="0" w:line="270"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our stock incentive plans, and subject to Board approval in the case of executive officers, approving grants of stock, stock options and other equity awards under such plans;</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the terms of employment agreements for our executive officers;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recommending, reviewing and administering compensation plans for members of the Board of Directors;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the Company’s compensation discussion and analysis with management; and</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any compensation committee report required to be included in the annual proxy statement.</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No member of the Compensation Committee has been an executive officer or employee of ours while serving on the Committee.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24"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auto"/>
        </w:rPr>
        <w:t>The Nominating and Governance Committee of the Board of Directors currently consists of Dr. Handley, as the chairperson, Mr. Nuzum and Mr. Vennare. Dr. Handley and Messrs. Nuzum and Vennare are “independent directors,” as such term is defined by The NASDAQ Market Listing Rule 5605(a)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 and free from any relationship that, in the opinion of the Board, would interfere with the exercise of his or her independent judgment as a member of the Committee. The Nominating and Governance Committee met four times during fiscal year 2020.</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purpose of the Nominating and Governance Committee is to:</w:t>
      </w:r>
    </w:p>
    <w:p>
      <w:pPr>
        <w:spacing w:after="0" w:line="220" w:lineRule="exact"/>
        <w:rPr>
          <w:sz w:val="20"/>
          <w:szCs w:val="20"/>
          <w:color w:val="auto"/>
        </w:rPr>
      </w:pPr>
    </w:p>
    <w:p>
      <w:pPr>
        <w:jc w:val="both"/>
        <w:ind w:left="1280" w:hanging="633"/>
        <w:spacing w:after="0" w:line="269"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Consider and make recommendations to the Board on all matters pertaining to the effectiveness of the Board, including with respect to: (i)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 (ii) individuals qualified to become Directors; (iii) nominees to the Board for action at the next annual meeting of stockholders; (iv) the structure and composition of the committees of the Board; (v) Board compensation; (vi) evaluation of the Directors, Committees and the Board; and (vii) overseeing the staggered annual Board elections.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 w:name="page16"/>
    <w:bookmarkEnd w:id="15"/>
    <w:p>
      <w:pPr>
        <w:jc w:val="both"/>
        <w:ind w:left="640" w:hanging="633"/>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Advise the Board and management on Company policies and practices that pertain to the Company’s responsibilities as a global corporate citizen, its special obligations as a biotechnology company whose products and services affect health and quality of life around the world, and its commitment to the highest standards of ethics and integrity in all its dealings.</w:t>
      </w:r>
    </w:p>
    <w:p>
      <w:pPr>
        <w:spacing w:after="0" w:line="186"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Take a leadership role in shaping the corporate governance of the Company, including the development of a set of corporate governance guidelines.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furtherance of its purposes, the Nominating and Governance Committee:</w:t>
      </w:r>
    </w:p>
    <w:p>
      <w:pPr>
        <w:spacing w:after="0" w:line="220" w:lineRule="exact"/>
        <w:rPr>
          <w:sz w:val="20"/>
          <w:szCs w:val="20"/>
          <w:color w:val="auto"/>
        </w:rPr>
      </w:pPr>
    </w:p>
    <w:p>
      <w:pPr>
        <w:jc w:val="both"/>
        <w:ind w:left="640" w:hanging="633"/>
        <w:spacing w:after="0" w:line="258"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the size and composition of the Board and makes recommendations to the Board as appropriate. The Committee has authority, with management consultation, for the engagement and termination of any search firm to be used to identify Director candidates and to approve engagement fees and terms for such firms.</w:t>
      </w:r>
    </w:p>
    <w:p>
      <w:pPr>
        <w:spacing w:after="0" w:line="186" w:lineRule="exact"/>
        <w:rPr>
          <w:rFonts w:ascii="Arial" w:cs="Arial" w:eastAsia="Arial" w:hAnsi="Arial"/>
          <w:sz w:val="18"/>
          <w:szCs w:val="18"/>
          <w:color w:val="auto"/>
        </w:rPr>
      </w:pPr>
    </w:p>
    <w:p>
      <w:pPr>
        <w:ind w:left="640" w:hanging="63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criteria for election to the Board and recommends candidates for Board membership.</w:t>
      </w:r>
    </w:p>
    <w:p>
      <w:pPr>
        <w:spacing w:after="0" w:line="219" w:lineRule="exact"/>
        <w:rPr>
          <w:rFonts w:ascii="Arial" w:cs="Arial" w:eastAsia="Arial" w:hAnsi="Arial"/>
          <w:sz w:val="18"/>
          <w:szCs w:val="18"/>
          <w:color w:val="auto"/>
        </w:rPr>
      </w:pPr>
    </w:p>
    <w:p>
      <w:pPr>
        <w:ind w:left="640" w:hanging="633"/>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policies concerning retirement from the Board and, as appropriate, makes recommendations to the Board for changes in policy.</w:t>
      </w:r>
    </w:p>
    <w:p>
      <w:pPr>
        <w:spacing w:after="0" w:line="242" w:lineRule="exact"/>
        <w:rPr>
          <w:rFonts w:ascii="Arial" w:cs="Arial" w:eastAsia="Arial" w:hAnsi="Arial"/>
          <w:sz w:val="16"/>
          <w:szCs w:val="16"/>
          <w:color w:val="auto"/>
        </w:rPr>
      </w:pPr>
    </w:p>
    <w:p>
      <w:pPr>
        <w:ind w:left="640" w:hanging="633"/>
        <w:spacing w:after="0" w:line="27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the structure and composition of Board committees and makes recommendations concerning the membership and the chairmanship of each committee based on seniority, expertise and other relevant considerations.</w:t>
      </w:r>
    </w:p>
    <w:p>
      <w:pPr>
        <w:spacing w:after="0" w:line="174"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Considers and makes recommendations to the Board concerning such other matters relating to the practices, policies and performance of the Board as may be appropriate from time-to-time.</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Regularly reports to the Board on the Committee’s activities and informs the Board promptly of any issues or concerns.</w:t>
      </w:r>
    </w:p>
    <w:p>
      <w:pPr>
        <w:spacing w:after="0" w:line="219"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related person transactions and approves, disapproves or ratifies such transactions in accordance with the Related Person Transaction Policy under the Policies of the Board and under the purview of the Audit Committee.</w:t>
      </w:r>
    </w:p>
    <w:p>
      <w:pPr>
        <w:spacing w:after="0" w:line="174" w:lineRule="exact"/>
        <w:rPr>
          <w:rFonts w:ascii="Arial" w:cs="Arial" w:eastAsia="Arial" w:hAnsi="Arial"/>
          <w:sz w:val="18"/>
          <w:szCs w:val="18"/>
          <w:color w:val="auto"/>
        </w:rPr>
      </w:pPr>
    </w:p>
    <w:p>
      <w:pPr>
        <w:ind w:left="640" w:right="20" w:hanging="633"/>
        <w:spacing w:after="0" w:line="27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necessary, reviews the Board’s approach to determining Director independence and recommends changes as appropriate for consideration and approval by the full Board.</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Reviews the D&amp;O indemnity and Fiduciary Liability Insurance coverage for the Company's Officers and non-employee Directors.</w:t>
      </w:r>
    </w:p>
    <w:p>
      <w:pPr>
        <w:spacing w:after="0" w:line="231" w:lineRule="exact"/>
        <w:rPr>
          <w:rFonts w:ascii="Arial" w:cs="Arial" w:eastAsia="Arial" w:hAnsi="Arial"/>
          <w:sz w:val="17"/>
          <w:szCs w:val="17"/>
          <w:color w:val="auto"/>
        </w:rPr>
      </w:pPr>
    </w:p>
    <w:p>
      <w:pPr>
        <w:ind w:left="640" w:hanging="633"/>
        <w:spacing w:after="0" w:line="27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public policy positions and strategy regarding political engagement, and corporate responsibility initiatives with significant financial reputational impact, as appropriate.</w:t>
      </w:r>
    </w:p>
    <w:p>
      <w:pPr>
        <w:spacing w:after="0" w:line="174"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Monitors and evaluates the Company’s corporate citizenship and corporate responsibility programs and activities, including the support of charitable, political and educational organizations and political candidates and causes.</w:t>
      </w:r>
    </w:p>
    <w:p>
      <w:pPr>
        <w:spacing w:after="0" w:line="174"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makes recommendations to the Board on proposals that relate to corporate governance, public policy and/or corporate responsibility issues submitted by stockholders for inclusion in the Company’s proxy materials.</w:t>
      </w:r>
    </w:p>
    <w:p>
      <w:pPr>
        <w:spacing w:after="0" w:line="3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13335</wp:posOffset>
            </wp:positionV>
            <wp:extent cx="71342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0600"/>
          </w:cols>
          <w:pgMar w:left="960" w:top="686" w:right="339" w:bottom="1440" w:gutter="0" w:footer="0" w:header="0"/>
        </w:sectPr>
      </w:pPr>
    </w:p>
    <w:bookmarkStart w:id="16" w:name="page17"/>
    <w:bookmarkEnd w:id="16"/>
    <w:p>
      <w:pPr>
        <w:ind w:left="1280" w:hanging="633"/>
        <w:spacing w:after="0" w:line="270"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recommends, as appropriate, external and internal training and educational opportunities for Directors in areas of importance to the Company.</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Develops a plan to periodically review and update the Committee’s Charter as necessary.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&amp; Acquisition Committee</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Merger &amp; Acquisition Committee of the Board of Directors currently consists of Dr. Jenkins, as the chairperson, and Dr. Chung-Welch and Mr. Engle. The Merger &amp; Acquisition Committee advises the Company with respect to any considered mergers, acquisitions, joint ventures and/or consolidations of any type.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Governance and Nominating Committee of the Board of Directors considers and makes recommendations to the Board on all matters pertaining to the effectiveness of the Board, such as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 Except as described in this proxy statement, since the beginning of fiscal 2020, there were no related party transactions arising or existing requiring disclosure as required pursuant to NASDAQ listing standards, SEC rules and regulations or the Company’s policy and procedures.</w:t>
      </w:r>
    </w:p>
    <w:p>
      <w:pPr>
        <w:spacing w:after="0" w:line="188"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One of our former directors, Richard L. Gabriel, is the Chief Operating Officer and serves as a director of GLG Pharma (“GLG”). GLG and we have a partnership agreement with Helomics for the purpose of bringing together their proprietary technologies to build out a personalized medicine platform for the diagnosis and treatment of women’s cancer. There has been no revenue or expenses generated by this partnership to date. Mr. Gabriel was also contracted as the President for TumorGenesis, our wholly owned subsidiary, while he was a member of the Board, and Mr. Gabriel received $13,500 in monthly cash payments. On May 1, 2021, Mr. Gabriel resigned from the Board to assume a management position with the company.</w:t>
      </w:r>
    </w:p>
    <w:p>
      <w:pPr>
        <w:spacing w:after="0" w:line="162"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On November 30, 2018, Dr. Carl Schwartz, our former CEO, made a loan of $370,000 to us and received a note and a common stock purchase warrant for 22,129 warrant shares at $8.36 per share. Effective as of January 8, 2019, Dr. Schwartz made an additional loan of $950,000 and received an amended and restated note in the original principal amount of $1,320,000 and an amended and restated warrant, which added a second tranche of 74,219 warrant shares at an exercise price of $7.04. Each tranche became exercisable beginning on the sixth month anniversary of the date of the related loan through the fifth-year anniversary of the date of the related loan. On January 8, 2019, Dr. Schwartz also purchased 7,813 shares of our common stock in a private investment for $50,000, representing a price of $6.40 per share, pursuant to a subscription agreement. On February 6, 2019, Dr. Schwartz made an additional loan of $300,000 in us and received an amended and restated note in the original principal amount of $1,620,000 due on February 8, 2020, and an amended and restated warrant, which added a third tranche of 13,889 warrant shares at an exercise price of $11.88 per share. On May 21, 2019, we issued a third and restated common stock purchase warrant to Dr. Schwartz for value received in connection with the funding of all or a portion of the purchase price of his second amended and restated promissory note in the principal amount of $1,620,000. We accounted for the liability to issue more warrants as a derivative liability as the exact number of warrants to be issued was uncertain at the time of the agreement. We issued 5,753 warrants to Dr. Schwartz under the agreement in 2019, which reduced the value of the derivative liability by $38,413. As of December 31, 2019, the recorded derivative liability related to the agreement was $22,644.</w:t>
      </w:r>
    </w:p>
    <w:p>
      <w:pPr>
        <w:spacing w:after="0" w:line="183"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During 2019, Dr. Schwartz advanced $300,000 to us. The loan earned 8% interest per annum. The due date of the loan was amended, and the loan became due December 31, 2019. An additional consideration of $15,000 was given for this extension. The loan is not connected to the previous note payable due to Dr. Schwartz.</w:t>
      </w:r>
    </w:p>
    <w:p>
      <w:pPr>
        <w:spacing w:after="0" w:line="186"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As of January 2020, we were in default under the $315,000 note payable to Dr. Schwartz which was due on December 31, 2019 and determined that we would not be able to pay the $1,620,000 note payable to Dr. Schwartz when it became due on February 8, 2020. In January 2020, an exchange agreement was entered into with Dr. Schwartz to cancel both notes and issue a new promissory note. During January 2020, the Company entered into an exchange agreement with Dr. Schwartz. Under the exchange agreement, the two outstanding notes were cancelled and in exchange a new promissory note in the amount of $2,115,000 bearing 12% interest per annum and maturing on September 30, 2020 was issued. In addition to the promissory note, Dr. Schwartz received 50,000 shares of the Company’s common stock. All warrants issued under the prior promissory notes were cancelled under the exchange agreement; no rights and obligations remain under the cancelled notes. Beginning in October 2019, the Company and Dr Schwartz began to renegotiate the note. Due to the negotiations, the company did not issue any additional warrants because they would be cancelled under the new deal. The Company determined that the exchange agreement had, in substance, occurred on December 31, 2019 and was therefore included within the financial statements as of and for the year ended December 31, 2019 and a related loss on debt extinguishment of $310,000 was recognized in 2019. On April 21, 2020, the Company and Dr. Schwartz entered into an exchange agreement relating to the promissory note of the Company dated January 21, 2020 issued by the Company in the principal amount of $2,115,000. The Note was cancelled in exchange for 1,533,481 shares of newly issued Common Stock at an exchange rate of $1.43 per share.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 w:name="page19"/>
    <w:bookmarkEnd w:id="18"/>
    <w:p>
      <w:pPr>
        <w:ind w:left="35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equity compensation plan information as of December 31, 2020:</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840" w:type="dxa"/>
            <w:vAlign w:val="bottom"/>
            <w:tcBorders>
              <w:top w:val="single" w:sz="8" w:color="auto"/>
              <w:left w:val="single" w:sz="8" w:color="auto"/>
              <w:right w:val="single" w:sz="8" w:color="auto"/>
            </w:tcBorders>
          </w:tcPr>
          <w:p>
            <w:pPr>
              <w:spacing w:after="0"/>
              <w:rPr>
                <w:sz w:val="21"/>
                <w:szCs w:val="21"/>
                <w:color w:val="auto"/>
              </w:rPr>
            </w:pP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Number of Securities to be Issued</w:t>
            </w:r>
          </w:p>
        </w:tc>
        <w:tc>
          <w:tcPr>
            <w:tcW w:w="2800" w:type="dxa"/>
            <w:vAlign w:val="bottom"/>
            <w:tcBorders>
              <w:top w:val="single" w:sz="8" w:color="auto"/>
              <w:right w:val="single" w:sz="8" w:color="auto"/>
            </w:tcBorders>
          </w:tcPr>
          <w:p>
            <w:pPr>
              <w:spacing w:after="0"/>
              <w:rPr>
                <w:sz w:val="21"/>
                <w:szCs w:val="21"/>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Securities Remaining</w:t>
            </w:r>
          </w:p>
        </w:tc>
        <w:tc>
          <w:tcPr>
            <w:tcW w:w="0" w:type="dxa"/>
            <w:vAlign w:val="bottom"/>
          </w:tcPr>
          <w:p>
            <w:pPr>
              <w:spacing w:after="0"/>
              <w:rPr>
                <w:sz w:val="1"/>
                <w:szCs w:val="1"/>
                <w:color w:val="auto"/>
              </w:rPr>
            </w:pPr>
          </w:p>
        </w:tc>
      </w:tr>
      <w:tr>
        <w:trPr>
          <w:trHeight w:val="107"/>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Available for Future Issuance</w:t>
            </w:r>
          </w:p>
        </w:tc>
        <w:tc>
          <w:tcPr>
            <w:tcW w:w="0" w:type="dxa"/>
            <w:vAlign w:val="bottom"/>
          </w:tcPr>
          <w:p>
            <w:pPr>
              <w:spacing w:after="0"/>
              <w:rPr>
                <w:sz w:val="1"/>
                <w:szCs w:val="1"/>
                <w:color w:val="auto"/>
              </w:rPr>
            </w:pPr>
          </w:p>
        </w:tc>
      </w:tr>
      <w:tr>
        <w:trPr>
          <w:trHeight w:val="107"/>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upon Exercise of Outstanding</w:t>
            </w:r>
          </w:p>
        </w:tc>
        <w:tc>
          <w:tcPr>
            <w:tcW w:w="2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88"/>
              </w:rPr>
              <w:t>Weighted Average Exercise Price of</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840" w:type="dxa"/>
            <w:vAlign w:val="bottom"/>
            <w:tcBorders>
              <w:left w:val="single" w:sz="8" w:color="auto"/>
              <w:right w:val="single" w:sz="8" w:color="auto"/>
            </w:tcBorders>
          </w:tcPr>
          <w:p>
            <w:pPr>
              <w:spacing w:after="0"/>
              <w:rPr>
                <w:sz w:val="15"/>
                <w:szCs w:val="15"/>
                <w:color w:val="auto"/>
              </w:rPr>
            </w:pPr>
          </w:p>
        </w:tc>
        <w:tc>
          <w:tcPr>
            <w:tcW w:w="2800" w:type="dxa"/>
            <w:vAlign w:val="bottom"/>
            <w:tcBorders>
              <w:right w:val="single" w:sz="8" w:color="auto"/>
            </w:tcBorders>
            <w:vMerge w:val="continue"/>
          </w:tcPr>
          <w:p>
            <w:pPr>
              <w:spacing w:after="0"/>
              <w:rPr>
                <w:sz w:val="15"/>
                <w:szCs w:val="15"/>
                <w:color w:val="auto"/>
              </w:rPr>
            </w:pPr>
          </w:p>
        </w:tc>
        <w:tc>
          <w:tcPr>
            <w:tcW w:w="2800" w:type="dxa"/>
            <w:vAlign w:val="bottom"/>
            <w:tcBorders>
              <w:right w:val="single" w:sz="8" w:color="auto"/>
            </w:tcBorders>
            <w:vMerge w:val="continue"/>
          </w:tcPr>
          <w:p>
            <w:pPr>
              <w:spacing w:after="0"/>
              <w:rPr>
                <w:sz w:val="15"/>
                <w:szCs w:val="15"/>
                <w:color w:val="auto"/>
              </w:rPr>
            </w:pPr>
          </w:p>
        </w:tc>
        <w:tc>
          <w:tcPr>
            <w:tcW w:w="28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0"/>
              </w:rPr>
              <w:t>Under Equity Compensation Plans</w:t>
            </w:r>
          </w:p>
        </w:tc>
        <w:tc>
          <w:tcPr>
            <w:tcW w:w="0" w:type="dxa"/>
            <w:vAlign w:val="bottom"/>
          </w:tcPr>
          <w:p>
            <w:pPr>
              <w:spacing w:after="0"/>
              <w:rPr>
                <w:sz w:val="1"/>
                <w:szCs w:val="1"/>
                <w:color w:val="auto"/>
              </w:rPr>
            </w:pP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Restricted Stock, Warrants and</w:t>
            </w:r>
          </w:p>
        </w:tc>
        <w:tc>
          <w:tcPr>
            <w:tcW w:w="28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w w:val="91"/>
              </w:rPr>
              <w:t>Outstanding Options, Warrants (b)</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(Excluding Securities Reflected in</w:t>
            </w:r>
          </w:p>
        </w:tc>
        <w:tc>
          <w:tcPr>
            <w:tcW w:w="0" w:type="dxa"/>
            <w:vAlign w:val="bottom"/>
          </w:tcPr>
          <w:p>
            <w:pPr>
              <w:spacing w:after="0"/>
              <w:rPr>
                <w:sz w:val="1"/>
                <w:szCs w:val="1"/>
                <w:color w:val="auto"/>
              </w:rPr>
            </w:pPr>
          </w:p>
        </w:tc>
      </w:tr>
      <w:tr>
        <w:trPr>
          <w:trHeight w:val="213"/>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 (a)</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Column (a)) (c)</w:t>
            </w:r>
          </w:p>
        </w:tc>
        <w:tc>
          <w:tcPr>
            <w:tcW w:w="0" w:type="dxa"/>
            <w:vAlign w:val="bottom"/>
          </w:tcPr>
          <w:p>
            <w:pPr>
              <w:spacing w:after="0"/>
              <w:rPr>
                <w:sz w:val="1"/>
                <w:szCs w:val="1"/>
                <w:color w:val="auto"/>
              </w:rPr>
            </w:pPr>
          </w:p>
        </w:tc>
      </w:tr>
      <w:tr>
        <w:trPr>
          <w:trHeight w:val="52"/>
        </w:trPr>
        <w:tc>
          <w:tcPr>
            <w:tcW w:w="2840" w:type="dxa"/>
            <w:vAlign w:val="bottom"/>
            <w:tcBorders>
              <w:left w:val="single" w:sz="8" w:color="auto"/>
              <w:right w:val="single" w:sz="8" w:color="auto"/>
            </w:tcBorders>
          </w:tcPr>
          <w:p>
            <w:pPr>
              <w:spacing w:after="0"/>
              <w:rPr>
                <w:sz w:val="4"/>
                <w:szCs w:val="4"/>
                <w:color w:val="auto"/>
              </w:rPr>
            </w:pPr>
          </w:p>
        </w:tc>
        <w:tc>
          <w:tcPr>
            <w:tcW w:w="280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tcPr>
          <w:p>
            <w:pPr>
              <w:spacing w:after="0"/>
              <w:rPr>
                <w:sz w:val="4"/>
                <w:szCs w:val="4"/>
                <w:color w:val="auto"/>
              </w:rPr>
            </w:pPr>
          </w:p>
        </w:tc>
        <w:tc>
          <w:tcPr>
            <w:tcW w:w="28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Equity compensation plans approved</w:t>
            </w:r>
          </w:p>
        </w:tc>
        <w:tc>
          <w:tcPr>
            <w:tcW w:w="2800" w:type="dxa"/>
            <w:vAlign w:val="bottom"/>
            <w:tcBorders>
              <w:right w:val="single" w:sz="8" w:color="auto"/>
            </w:tcBorders>
            <w:vMerge w:val="restart"/>
          </w:tcPr>
          <w:p>
            <w:pPr>
              <w:jc w:val="right"/>
              <w:ind w:right="971"/>
              <w:spacing w:after="0"/>
              <w:rPr>
                <w:sz w:val="20"/>
                <w:szCs w:val="20"/>
                <w:color w:val="auto"/>
              </w:rPr>
            </w:pPr>
            <w:r>
              <w:rPr>
                <w:rFonts w:ascii="Arial" w:cs="Arial" w:eastAsia="Arial" w:hAnsi="Arial"/>
                <w:sz w:val="18"/>
                <w:szCs w:val="18"/>
                <w:color w:val="auto"/>
              </w:rPr>
              <w:t>1,413,547</w:t>
            </w:r>
          </w:p>
        </w:tc>
        <w:tc>
          <w:tcPr>
            <w:tcW w:w="2800" w:type="dxa"/>
            <w:vAlign w:val="bottom"/>
            <w:tcBorders>
              <w:right w:val="single" w:sz="8" w:color="auto"/>
            </w:tcBorders>
            <w:vMerge w:val="restart"/>
          </w:tcPr>
          <w:p>
            <w:pPr>
              <w:jc w:val="right"/>
              <w:ind w:right="1131"/>
              <w:spacing w:after="0"/>
              <w:rPr>
                <w:sz w:val="20"/>
                <w:szCs w:val="20"/>
                <w:color w:val="auto"/>
              </w:rPr>
            </w:pPr>
            <w:r>
              <w:rPr>
                <w:rFonts w:ascii="Arial" w:cs="Arial" w:eastAsia="Arial" w:hAnsi="Arial"/>
                <w:sz w:val="18"/>
                <w:szCs w:val="18"/>
                <w:color w:val="auto"/>
              </w:rPr>
              <w:t>$4.16</w:t>
            </w:r>
          </w:p>
        </w:tc>
        <w:tc>
          <w:tcPr>
            <w:tcW w:w="2800" w:type="dxa"/>
            <w:vAlign w:val="bottom"/>
            <w:tcBorders>
              <w:right w:val="single" w:sz="8" w:color="auto"/>
            </w:tcBorders>
            <w:vMerge w:val="restart"/>
          </w:tcPr>
          <w:p>
            <w:pPr>
              <w:jc w:val="right"/>
              <w:ind w:right="1031"/>
              <w:spacing w:after="0"/>
              <w:rPr>
                <w:sz w:val="20"/>
                <w:szCs w:val="20"/>
                <w:color w:val="auto"/>
              </w:rPr>
            </w:pPr>
            <w:r>
              <w:rPr>
                <w:rFonts w:ascii="Arial" w:cs="Arial" w:eastAsia="Arial" w:hAnsi="Arial"/>
                <w:sz w:val="18"/>
                <w:szCs w:val="18"/>
                <w:color w:val="auto"/>
              </w:rPr>
              <w:t>204,654</w:t>
            </w:r>
          </w:p>
        </w:tc>
        <w:tc>
          <w:tcPr>
            <w:tcW w:w="0" w:type="dxa"/>
            <w:vAlign w:val="bottom"/>
          </w:tcPr>
          <w:p>
            <w:pPr>
              <w:spacing w:after="0"/>
              <w:rPr>
                <w:sz w:val="1"/>
                <w:szCs w:val="1"/>
                <w:color w:val="auto"/>
              </w:rPr>
            </w:pPr>
          </w:p>
        </w:tc>
      </w:tr>
      <w:tr>
        <w:trPr>
          <w:trHeight w:val="120"/>
        </w:trPr>
        <w:tc>
          <w:tcPr>
            <w:tcW w:w="2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by security holders (1)</w:t>
            </w: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40" w:type="dxa"/>
            <w:vAlign w:val="bottom"/>
            <w:tcBorders>
              <w:left w:val="single" w:sz="8" w:color="auto"/>
              <w:right w:val="single" w:sz="8" w:color="auto"/>
            </w:tcBorders>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 not</w:t>
            </w:r>
          </w:p>
        </w:tc>
        <w:tc>
          <w:tcPr>
            <w:tcW w:w="2800" w:type="dxa"/>
            <w:vAlign w:val="bottom"/>
            <w:tcBorders>
              <w:right w:val="single" w:sz="8" w:color="auto"/>
            </w:tcBorders>
            <w:vMerge w:val="restart"/>
          </w:tcPr>
          <w:p>
            <w:pPr>
              <w:jc w:val="right"/>
              <w:ind w:right="1291"/>
              <w:spacing w:after="0"/>
              <w:rPr>
                <w:sz w:val="20"/>
                <w:szCs w:val="20"/>
                <w:color w:val="auto"/>
              </w:rPr>
            </w:pPr>
            <w:r>
              <w:rPr>
                <w:rFonts w:ascii="Arial" w:cs="Arial" w:eastAsia="Arial" w:hAnsi="Arial"/>
                <w:sz w:val="18"/>
                <w:szCs w:val="18"/>
                <w:color w:val="auto"/>
              </w:rPr>
              <w:t>-</w:t>
            </w:r>
          </w:p>
        </w:tc>
        <w:tc>
          <w:tcPr>
            <w:tcW w:w="2800" w:type="dxa"/>
            <w:vAlign w:val="bottom"/>
            <w:tcBorders>
              <w:right w:val="single" w:sz="8" w:color="auto"/>
            </w:tcBorders>
            <w:vMerge w:val="restart"/>
          </w:tcPr>
          <w:p>
            <w:pPr>
              <w:jc w:val="right"/>
              <w:ind w:right="1291"/>
              <w:spacing w:after="0"/>
              <w:rPr>
                <w:sz w:val="20"/>
                <w:szCs w:val="20"/>
                <w:color w:val="auto"/>
              </w:rPr>
            </w:pPr>
            <w:r>
              <w:rPr>
                <w:rFonts w:ascii="Arial" w:cs="Arial" w:eastAsia="Arial" w:hAnsi="Arial"/>
                <w:sz w:val="18"/>
                <w:szCs w:val="18"/>
                <w:color w:val="auto"/>
              </w:rPr>
              <w:t>-</w:t>
            </w:r>
          </w:p>
        </w:tc>
        <w:tc>
          <w:tcPr>
            <w:tcW w:w="2800" w:type="dxa"/>
            <w:vAlign w:val="bottom"/>
            <w:tcBorders>
              <w:right w:val="single" w:sz="8" w:color="auto"/>
            </w:tcBorders>
            <w:vMerge w:val="restart"/>
          </w:tcPr>
          <w:p>
            <w:pPr>
              <w:jc w:val="right"/>
              <w:ind w:right="12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approved by security holders</w:t>
            </w: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40" w:type="dxa"/>
            <w:vAlign w:val="bottom"/>
            <w:tcBorders>
              <w:left w:val="single" w:sz="8" w:color="auto"/>
              <w:right w:val="single" w:sz="8" w:color="auto"/>
            </w:tcBorders>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100" w:firstLine="7"/>
        <w:spacing w:after="0" w:line="269" w:lineRule="auto"/>
        <w:tabs>
          <w:tab w:leader="none" w:pos="2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outstanding options under the 2008 Equity Incentive Plan and the 2012 Stock Incentive Plan. The remaining share authorization under the 2008 Equity Incentive Plan was rolled over to the current 2012 Stock Incentive Plan (as amended, the “2012 Plan”). On March 22, 2019, our shareholders approved an amendment to the 2012 Plan to increase the reserve of shares of common stock authorized for issuance thereunder to 1,000,000. On September 3, 2020, our shareholders approved an amendment to the 2012 Plan to increase the reserve of shares of common stock authorized for issuance thereunder to 1,750,000. On August 10, 2021, the stockholders approved an amendment to the 2012 Plan to increase the reserve of shares of common stock authorized for issuance thereunder by 1,500,000, to 3,250,000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right="20" w:firstLine="640"/>
        <w:spacing w:after="0" w:line="258" w:lineRule="auto"/>
        <w:rPr>
          <w:sz w:val="20"/>
          <w:szCs w:val="20"/>
          <w:color w:val="auto"/>
        </w:rPr>
      </w:pPr>
      <w:r>
        <w:rPr>
          <w:rFonts w:ascii="Arial" w:cs="Arial" w:eastAsia="Arial" w:hAnsi="Arial"/>
          <w:sz w:val="18"/>
          <w:szCs w:val="18"/>
          <w:color w:val="auto"/>
        </w:rPr>
        <w:t>This section describes the material elements of the compensation awarded to, earned by or paid to our former Chief Executive Officer and our Chief Financial Officer, collectively referred to as the “Named Executive Officers.” We did not have any other executive officers, as determined in accordance with SEC rules, during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2020 and 2019</w:t>
      </w:r>
    </w:p>
    <w:p>
      <w:pPr>
        <w:spacing w:after="0" w:line="224" w:lineRule="exact"/>
        <w:rPr>
          <w:sz w:val="20"/>
          <w:szCs w:val="20"/>
          <w:color w:val="auto"/>
        </w:rPr>
      </w:pPr>
    </w:p>
    <w:p>
      <w:pPr>
        <w:ind w:right="40" w:firstLine="640"/>
        <w:spacing w:after="0" w:line="270" w:lineRule="auto"/>
        <w:rPr>
          <w:sz w:val="20"/>
          <w:szCs w:val="20"/>
          <w:color w:val="auto"/>
        </w:rPr>
      </w:pPr>
      <w:r>
        <w:rPr>
          <w:rFonts w:ascii="Arial" w:cs="Arial" w:eastAsia="Arial" w:hAnsi="Arial"/>
          <w:sz w:val="18"/>
          <w:szCs w:val="18"/>
          <w:color w:val="auto"/>
        </w:rPr>
        <w:t>The following table provides information regarding the compensation earned during the fiscal years ended December 31, 2020 and December 31, 2019 by each of the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jc w:val="center"/>
              <w:ind w:left="671"/>
              <w:spacing w:after="0"/>
              <w:rPr>
                <w:sz w:val="20"/>
                <w:szCs w:val="20"/>
                <w:color w:val="auto"/>
              </w:rPr>
            </w:pPr>
            <w:r>
              <w:rPr>
                <w:rFonts w:ascii="Arial" w:cs="Arial" w:eastAsia="Arial" w:hAnsi="Arial"/>
                <w:sz w:val="18"/>
                <w:szCs w:val="18"/>
                <w:b w:val="1"/>
                <w:bCs w:val="1"/>
                <w:color w:val="auto"/>
                <w:w w:val="88"/>
              </w:rPr>
              <w:t>Name and</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Pr>
          <w:p>
            <w:pPr>
              <w:spacing w:after="0"/>
              <w:rPr>
                <w:sz w:val="18"/>
                <w:szCs w:val="18"/>
                <w:color w:val="auto"/>
              </w:rPr>
            </w:pPr>
          </w:p>
        </w:tc>
        <w:tc>
          <w:tcPr>
            <w:tcW w:w="70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680" w:type="dxa"/>
            <w:vAlign w:val="bottom"/>
          </w:tcPr>
          <w:p>
            <w:pPr>
              <w:jc w:val="center"/>
              <w:ind w:left="691"/>
              <w:spacing w:after="0"/>
              <w:rPr>
                <w:sz w:val="20"/>
                <w:szCs w:val="20"/>
                <w:color w:val="auto"/>
              </w:rPr>
            </w:pPr>
            <w:r>
              <w:rPr>
                <w:rFonts w:ascii="Arial" w:cs="Arial" w:eastAsia="Arial" w:hAnsi="Arial"/>
                <w:sz w:val="18"/>
                <w:szCs w:val="18"/>
                <w:b w:val="1"/>
                <w:bCs w:val="1"/>
                <w:color w:val="auto"/>
                <w:w w:val="92"/>
              </w:rPr>
              <w:t>Principal</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b w:val="1"/>
                <w:bCs w:val="1"/>
                <w:color w:val="auto"/>
                <w:w w:val="99"/>
              </w:rPr>
              <w:t>All Other</w:t>
            </w:r>
          </w:p>
        </w:tc>
        <w:tc>
          <w:tcPr>
            <w:tcW w:w="26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30"/>
        </w:trPr>
        <w:tc>
          <w:tcPr>
            <w:tcW w:w="3680" w:type="dxa"/>
            <w:vAlign w:val="bottom"/>
          </w:tcPr>
          <w:p>
            <w:pPr>
              <w:jc w:val="center"/>
              <w:ind w:left="671"/>
              <w:spacing w:after="0"/>
              <w:rPr>
                <w:sz w:val="20"/>
                <w:szCs w:val="20"/>
                <w:color w:val="auto"/>
              </w:rPr>
            </w:pPr>
            <w:r>
              <w:rPr>
                <w:rFonts w:ascii="Arial" w:cs="Arial" w:eastAsia="Arial" w:hAnsi="Arial"/>
                <w:sz w:val="18"/>
                <w:szCs w:val="18"/>
                <w:b w:val="1"/>
                <w:bCs w:val="1"/>
                <w:color w:val="auto"/>
                <w:w w:val="84"/>
              </w:rPr>
              <w:t>Position</w:t>
            </w:r>
          </w:p>
        </w:tc>
        <w:tc>
          <w:tcPr>
            <w:tcW w:w="1620" w:type="dxa"/>
            <w:vAlign w:val="bottom"/>
          </w:tcPr>
          <w:p>
            <w:pPr>
              <w:jc w:val="right"/>
              <w:ind w:right="111"/>
              <w:spacing w:after="0"/>
              <w:rPr>
                <w:sz w:val="20"/>
                <w:szCs w:val="20"/>
                <w:color w:val="auto"/>
              </w:rPr>
            </w:pPr>
            <w:r>
              <w:rPr>
                <w:rFonts w:ascii="Arial" w:cs="Arial" w:eastAsia="Arial" w:hAnsi="Arial"/>
                <w:sz w:val="18"/>
                <w:szCs w:val="18"/>
                <w:b w:val="1"/>
                <w:bCs w:val="1"/>
                <w:color w:val="auto"/>
              </w:rPr>
              <w:t>Year</w:t>
            </w:r>
          </w:p>
        </w:tc>
        <w:tc>
          <w:tcPr>
            <w:tcW w:w="920" w:type="dxa"/>
            <w:vAlign w:val="bottom"/>
          </w:tcPr>
          <w:p>
            <w:pPr>
              <w:jc w:val="right"/>
              <w:ind w:right="71"/>
              <w:spacing w:after="0"/>
              <w:rPr>
                <w:sz w:val="20"/>
                <w:szCs w:val="20"/>
                <w:color w:val="auto"/>
              </w:rPr>
            </w:pPr>
            <w:r>
              <w:rPr>
                <w:rFonts w:ascii="Arial" w:cs="Arial" w:eastAsia="Arial" w:hAnsi="Arial"/>
                <w:sz w:val="18"/>
                <w:szCs w:val="18"/>
                <w:b w:val="1"/>
                <w:bCs w:val="1"/>
                <w:color w:val="auto"/>
              </w:rPr>
              <w:t>Salary</w:t>
            </w:r>
          </w:p>
        </w:tc>
        <w:tc>
          <w:tcPr>
            <w:tcW w:w="220" w:type="dxa"/>
            <w:vAlign w:val="bottom"/>
          </w:tcPr>
          <w:p>
            <w:pPr>
              <w:spacing w:after="0"/>
              <w:rPr>
                <w:sz w:val="20"/>
                <w:szCs w:val="20"/>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b w:val="1"/>
                <w:bCs w:val="1"/>
                <w:color w:val="auto"/>
                <w:w w:val="85"/>
              </w:rPr>
              <w:t>Bonus</w:t>
            </w:r>
          </w:p>
        </w:tc>
        <w:tc>
          <w:tcPr>
            <w:tcW w:w="200" w:type="dxa"/>
            <w:vAlign w:val="bottom"/>
          </w:tcPr>
          <w:p>
            <w:pPr>
              <w:spacing w:after="0"/>
              <w:rPr>
                <w:sz w:val="20"/>
                <w:szCs w:val="20"/>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Awards</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w w:val="89"/>
              </w:rPr>
              <w:t>Compensation</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w w:val="86"/>
              </w:rPr>
              <w:t>Compensation</w:t>
            </w:r>
          </w:p>
        </w:tc>
      </w:tr>
      <w:tr>
        <w:trPr>
          <w:trHeight w:val="215"/>
        </w:trPr>
        <w:tc>
          <w:tcPr>
            <w:tcW w:w="3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4"/>
        </w:trPr>
        <w:tc>
          <w:tcPr>
            <w:tcW w:w="36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Carl Schwartz, CEO </w:t>
            </w:r>
            <w:r>
              <w:rPr>
                <w:rFonts w:ascii="Arial" w:cs="Arial" w:eastAsia="Arial" w:hAnsi="Arial"/>
                <w:sz w:val="29"/>
                <w:szCs w:val="29"/>
                <w:color w:val="auto"/>
                <w:vertAlign w:val="superscript"/>
              </w:rPr>
              <w:t>(2)</w:t>
            </w: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$ 430,000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476,002</w:t>
            </w:r>
          </w:p>
        </w:tc>
        <w:tc>
          <w:tcPr>
            <w:tcW w:w="20" w:type="dxa"/>
            <w:vAlign w:val="bottom"/>
          </w:tcPr>
          <w:p>
            <w:pPr>
              <w:spacing w:after="0"/>
              <w:rPr>
                <w:sz w:val="22"/>
                <w:szCs w:val="22"/>
                <w:color w:val="auto"/>
              </w:rPr>
            </w:pPr>
          </w:p>
        </w:tc>
      </w:tr>
      <w:tr>
        <w:trPr>
          <w:trHeight w:val="213"/>
        </w:trPr>
        <w:tc>
          <w:tcPr>
            <w:tcW w:w="3680" w:type="dxa"/>
            <w:vAlign w:val="bottom"/>
          </w:tcPr>
          <w:p>
            <w:pPr>
              <w:spacing w:after="0"/>
              <w:rPr>
                <w:sz w:val="18"/>
                <w:szCs w:val="18"/>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2019</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$ 100,000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376,600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476,600</w:t>
            </w:r>
          </w:p>
        </w:tc>
        <w:tc>
          <w:tcPr>
            <w:tcW w:w="20" w:type="dxa"/>
            <w:vAlign w:val="bottom"/>
          </w:tcPr>
          <w:p>
            <w:pPr>
              <w:spacing w:after="0"/>
              <w:rPr>
                <w:sz w:val="18"/>
                <w:szCs w:val="18"/>
                <w:color w:val="auto"/>
              </w:rPr>
            </w:pPr>
          </w:p>
        </w:tc>
      </w:tr>
      <w:tr>
        <w:trPr>
          <w:trHeight w:val="213"/>
        </w:trPr>
        <w:tc>
          <w:tcPr>
            <w:tcW w:w="3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4"/>
        </w:trPr>
        <w:tc>
          <w:tcPr>
            <w:tcW w:w="3680" w:type="dxa"/>
            <w:vAlign w:val="bottom"/>
          </w:tcPr>
          <w:p>
            <w:pPr>
              <w:spacing w:after="0" w:line="253" w:lineRule="exact"/>
              <w:rPr>
                <w:sz w:val="20"/>
                <w:szCs w:val="20"/>
                <w:color w:val="auto"/>
              </w:rPr>
            </w:pPr>
            <w:r>
              <w:rPr>
                <w:rFonts w:ascii="Arial" w:cs="Arial" w:eastAsia="Arial" w:hAnsi="Arial"/>
                <w:sz w:val="18"/>
                <w:szCs w:val="18"/>
                <w:color w:val="auto"/>
              </w:rPr>
              <w:t xml:space="preserve">Bob Myers, CFO </w:t>
            </w:r>
            <w:r>
              <w:rPr>
                <w:rFonts w:ascii="Arial" w:cs="Arial" w:eastAsia="Arial" w:hAnsi="Arial"/>
                <w:sz w:val="29"/>
                <w:szCs w:val="29"/>
                <w:color w:val="auto"/>
                <w:vertAlign w:val="superscript"/>
              </w:rPr>
              <w:t>(3)</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2020</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$ 327,838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15,334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343,172</w:t>
            </w:r>
          </w:p>
        </w:tc>
        <w:tc>
          <w:tcPr>
            <w:tcW w:w="20" w:type="dxa"/>
            <w:vAlign w:val="bottom"/>
          </w:tcPr>
          <w:p>
            <w:pPr>
              <w:spacing w:after="0"/>
              <w:rPr>
                <w:sz w:val="22"/>
                <w:szCs w:val="22"/>
                <w:color w:val="auto"/>
              </w:rPr>
            </w:pPr>
          </w:p>
        </w:tc>
      </w:tr>
      <w:tr>
        <w:trPr>
          <w:trHeight w:val="213"/>
        </w:trPr>
        <w:tc>
          <w:tcPr>
            <w:tcW w:w="3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$ 270,833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100,597</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371,430</w:t>
            </w:r>
          </w:p>
        </w:tc>
        <w:tc>
          <w:tcPr>
            <w:tcW w:w="20" w:type="dxa"/>
            <w:vAlign w:val="bottom"/>
          </w:tcPr>
          <w:p>
            <w:pPr>
              <w:spacing w:after="0"/>
              <w:rPr>
                <w:sz w:val="18"/>
                <w:szCs w:val="18"/>
                <w:color w:val="auto"/>
              </w:rPr>
            </w:pPr>
          </w:p>
        </w:tc>
      </w:tr>
    </w:tbl>
    <w:p>
      <w:pPr>
        <w:spacing w:after="0" w:line="199" w:lineRule="exact"/>
        <w:rPr>
          <w:sz w:val="20"/>
          <w:szCs w:val="20"/>
          <w:color w:val="auto"/>
        </w:rPr>
      </w:pPr>
    </w:p>
    <w:p>
      <w:pPr>
        <w:ind w:left="640" w:hanging="313"/>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Represents the actual compensation cost granted during 2020 and 2019 as determined pursuant to FASB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w:t>
      </w:r>
    </w:p>
    <w:p>
      <w:pPr>
        <w:spacing w:after="0" w:line="231" w:lineRule="exact"/>
        <w:rPr>
          <w:rFonts w:ascii="Arial" w:cs="Arial" w:eastAsia="Arial" w:hAnsi="Arial"/>
          <w:sz w:val="17"/>
          <w:szCs w:val="17"/>
          <w:color w:val="auto"/>
        </w:rPr>
      </w:pPr>
    </w:p>
    <w:p>
      <w:pPr>
        <w:ind w:left="640" w:right="160" w:hanging="313"/>
        <w:spacing w:after="0" w:line="292"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March 19, 2021, Dr. Schwartz retired through his resignation as Chief Executive Officer. Dr. Schwartz received a salary increase to $460,000 annually on September 23, 2020, retroactively effective to July 1, 2020. Dr. Schwartz received 300,000 restricted stock units on September 23, 2020, payable in shares of common stock and vesting in equal annual installments over three years. Dr. Schwartz opted to take nine months of his 2019-year salary as stock options in lieu of cash. Dr. Schwartz received options to purchase 47,702 shares of common stock in lieu of a cash salary in 2019. The shares all vested at the time of grant and ranged in price from $1.54 per share to $7.90 per share for 2019 grants.</w:t>
      </w:r>
    </w:p>
    <w:p>
      <w:pPr>
        <w:spacing w:after="0" w:line="161" w:lineRule="exact"/>
        <w:rPr>
          <w:rFonts w:ascii="Arial" w:cs="Arial" w:eastAsia="Arial" w:hAnsi="Arial"/>
          <w:sz w:val="16"/>
          <w:szCs w:val="16"/>
          <w:color w:val="auto"/>
        </w:rPr>
      </w:pPr>
    </w:p>
    <w:p>
      <w:pPr>
        <w:ind w:left="640" w:right="120" w:hanging="313"/>
        <w:spacing w:after="0" w:line="253"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Myers received a salary increase to $345,000 annually on September 23, 2020, retroactively effective to July 1, 2020. Mr. Myers received 100,000 restricted stock units on September 23, 2020, payable in shares of common stock and vesting in equal annual installments over three years. Mr. Myers received a salary increase on August 1, 2019 to an annualized amount of $300,000. Mr. Myers received $19,250 paid in 2019 for 2018 accrued bonus. Mr. Myers received options to purchase 16,600 shares of common stock vesting over two (2) years in eight (8) equal installments priced at $1.54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Fiscal 2020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certain information regarding outstanding equity awards held by the named executive officers as of December 31,</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1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rPr>
              <w:t>Options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8"/>
                <w:szCs w:val="18"/>
                <w:b w:val="1"/>
                <w:bCs w:val="1"/>
                <w:color w:val="auto"/>
              </w:rPr>
              <w:t>Restricted Stock Units</w:t>
            </w:r>
          </w:p>
        </w:tc>
      </w:tr>
      <w:tr>
        <w:trPr>
          <w:trHeight w:val="190"/>
        </w:trPr>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6"/>
                <w:szCs w:val="16"/>
                <w:color w:val="auto"/>
              </w:rPr>
            </w:pPr>
          </w:p>
        </w:tc>
        <w:tc>
          <w:tcPr>
            <w:tcW w:w="134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3"/>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Units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Market Value</w:t>
            </w:r>
          </w:p>
        </w:tc>
      </w:tr>
      <w:tr>
        <w:trPr>
          <w:trHeight w:val="213"/>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Option</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Stock That</w:t>
            </w: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88"/>
              </w:rPr>
              <w:t>Of Units of Stock</w:t>
            </w:r>
          </w:p>
        </w:tc>
      </w:tr>
      <w:tr>
        <w:trPr>
          <w:trHeight w:val="213"/>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71"/>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Arial" w:cs="Arial" w:eastAsia="Arial" w:hAnsi="Arial"/>
                <w:sz w:val="18"/>
                <w:szCs w:val="18"/>
                <w:b w:val="1"/>
                <w:bCs w:val="1"/>
                <w:color w:val="auto"/>
                <w:w w:val="92"/>
              </w:rPr>
              <w:t>That Have</w:t>
            </w:r>
          </w:p>
        </w:tc>
      </w:tr>
      <w:tr>
        <w:trPr>
          <w:trHeight w:val="231"/>
        </w:trPr>
        <w:tc>
          <w:tcPr>
            <w:tcW w:w="1480" w:type="dxa"/>
            <w:vAlign w:val="bottom"/>
          </w:tcPr>
          <w:p>
            <w:pPr>
              <w:spacing w:after="0"/>
              <w:rPr>
                <w:sz w:val="20"/>
                <w:szCs w:val="20"/>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Grant Date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5"/>
              </w:rPr>
              <w:t>Not Vested</w:t>
            </w:r>
          </w:p>
        </w:tc>
      </w:tr>
      <w:tr>
        <w:trPr>
          <w:trHeight w:val="208"/>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Carl Schwartz</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7/19/2013</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7/19/2023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6/30/2015</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6/30/2025</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6/30/2015</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775.00</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6/30/2025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3/31/2016</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42.50</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3/31/2026</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6/30/2016</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37.50</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6/30/2026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9/30/2016</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41.25</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9/30/2026</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12/31/2026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12/31/2016</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28.00</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12/31/2026</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3/31/2017</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21.00</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3/31/2027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6/22/2017</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37,689</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6/22/2027</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11/10/2017</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11/10/2027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1/2/2018</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14,175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1/2/2028</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12,168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6/30/2028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8/1/2018</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8/1/2028</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1/2/2019</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32,305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1/2/2029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4/4/2019</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4/4/2029</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7/1/2019</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7.90</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7/1/2029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8/1/2019</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5,128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6.50</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8/1/2029</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9/1/2019</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6,050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5.51</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9/1/2029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3/31/2020</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3/31/2030</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6/30/2020</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6/30/2030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9/23/2020</w:t>
            </w:r>
          </w:p>
        </w:tc>
        <w:tc>
          <w:tcPr>
            <w:tcW w:w="1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300,000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253,710</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9/30/2020</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6,142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9/30/2030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12/31/2020</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20,481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12/31/2030</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1480" w:type="dxa"/>
            <w:vAlign w:val="bottom"/>
          </w:tcPr>
          <w:p>
            <w:pPr>
              <w:spacing w:after="0"/>
              <w:rPr>
                <w:sz w:val="20"/>
                <w:szCs w:val="20"/>
                <w:color w:val="auto"/>
              </w:rPr>
            </w:pPr>
            <w:r>
              <w:rPr>
                <w:rFonts w:ascii="Arial" w:cs="Arial" w:eastAsia="Arial" w:hAnsi="Arial"/>
                <w:sz w:val="18"/>
                <w:szCs w:val="18"/>
                <w:color w:val="auto"/>
              </w:rPr>
              <w:t>Bob Myers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8/13/2012</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8/13/2022</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3/18/2013</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3/18/2023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3/6/2014</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3/6/2024</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9/16/2016</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9/16/2026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6/22/2017</w:t>
            </w: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30,411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6/22/2027</w:t>
            </w: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4/4/2019</w:t>
            </w:r>
          </w:p>
        </w:tc>
        <w:tc>
          <w:tcPr>
            <w:tcW w:w="14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16,600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4/4/2029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6"/>
        </w:trPr>
        <w:tc>
          <w:tcPr>
            <w:tcW w:w="14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9/23/2020</w:t>
            </w:r>
          </w:p>
        </w:tc>
        <w:tc>
          <w:tcPr>
            <w:tcW w:w="12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1"/>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84,570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Components for Fiscal 2020</w:t>
      </w:r>
    </w:p>
    <w:p>
      <w:pPr>
        <w:spacing w:after="0" w:line="224"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an important element of our executive compensation program as it provides executives with a fixed, regular, non-contingent 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stock options.</w:t>
      </w:r>
    </w:p>
    <w:p>
      <w:pPr>
        <w:spacing w:after="0" w:line="177"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his/her current base salary, incentive cash compensation and equity-based compensation, as well as his/her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 w:name="page22"/>
    <w:bookmarkEnd w:id="21"/>
    <w:p>
      <w:pPr>
        <w:jc w:val="both"/>
        <w:ind w:firstLine="640"/>
        <w:spacing w:after="0" w:line="271" w:lineRule="auto"/>
        <w:rPr>
          <w:sz w:val="20"/>
          <w:szCs w:val="20"/>
          <w:color w:val="auto"/>
        </w:rPr>
      </w:pPr>
      <w:r>
        <w:rPr>
          <w:rFonts w:ascii="Arial" w:cs="Arial" w:eastAsia="Arial" w:hAnsi="Arial"/>
          <w:sz w:val="17"/>
          <w:szCs w:val="17"/>
          <w:color w:val="auto"/>
        </w:rPr>
        <w:t>In utilizing comparative data, the Compensation Committee seeks to recommend salaries for each executive at a level that is appropriate after considering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77"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i w:val="1"/>
          <w:iCs w:val="1"/>
          <w:color w:val="auto"/>
        </w:rPr>
        <w:t xml:space="preserve">Bonuses. </w:t>
      </w:r>
      <w:r>
        <w:rPr>
          <w:rFonts w:ascii="Arial" w:cs="Arial" w:eastAsia="Arial" w:hAnsi="Arial"/>
          <w:sz w:val="17"/>
          <w:szCs w:val="17"/>
          <w:color w:val="auto"/>
        </w:rPr>
        <w:t>Until 2018, the Chief Financial Officer received 20% contractual annual cash bonuses. Any other bonuses for the CFO, as well as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CEO, if offered, were determined by the Compensation Committee. The bonuses in past years were a combination of cash and employee stock options. The CFO signed an amended contract whereby the contractual bonuses were removed after August 1, 2018. All bonuses after 2018 became part of a structured program established by the Compensation Committee and approved by the Board of Directors.</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i w:val="1"/>
          <w:iCs w:val="1"/>
          <w:color w:val="auto"/>
        </w:rPr>
        <w:t xml:space="preserve">Stock Options and Other Equity Grants. </w:t>
      </w:r>
      <w:r>
        <w:rPr>
          <w:rFonts w:ascii="Arial" w:cs="Arial" w:eastAsia="Arial" w:hAnsi="Arial"/>
          <w:sz w:val="18"/>
          <w:szCs w:val="18"/>
          <w:color w:val="auto"/>
        </w:rPr>
        <w:t>Consistent with our compensation philosophies related to performance-based compensation,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 creation and alignment of executive interests with those of stockholders, we make periodic grants of long-term compensation in the form of stock options to our executive officers, directors and others in the organization.</w:t>
      </w:r>
    </w:p>
    <w:p>
      <w:pPr>
        <w:spacing w:after="0" w:line="186"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16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Consistent with our compensation philosophies related to performance-based compensation, long-term stockholder value</w:t>
      </w:r>
      <w:r>
        <w:rPr>
          <w:rFonts w:ascii="Arial" w:cs="Arial" w:eastAsia="Arial" w:hAnsi="Arial"/>
          <w:sz w:val="18"/>
          <w:szCs w:val="18"/>
          <w:i w:val="1"/>
          <w:iCs w:val="1"/>
          <w:color w:val="auto"/>
        </w:rPr>
        <w:t xml:space="preserve"> </w:t>
      </w:r>
      <w:r>
        <w:rPr>
          <w:rFonts w:ascii="Arial" w:cs="Arial" w:eastAsia="Arial" w:hAnsi="Arial"/>
          <w:sz w:val="18"/>
          <w:szCs w:val="18"/>
          <w:color w:val="auto"/>
        </w:rPr>
        <w:t>creation and alignment of executive interests with those of stockholders, we make periodic grants of long-term compensation in the form of restricted stock units to our executive officers.</w:t>
      </w:r>
    </w:p>
    <w:p>
      <w:pPr>
        <w:spacing w:after="0" w:line="1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Restricted stock units provide executive officers with stock that is not fully transferable until certain conditions are met. Upon satisfaction of the conditions, the stock is no longer restricted, and becomes transferable to the officer.</w:t>
      </w:r>
    </w:p>
    <w:p>
      <w:pPr>
        <w:spacing w:after="0" w:line="17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i w:val="1"/>
          <w:iCs w:val="1"/>
          <w:color w:val="auto"/>
        </w:rPr>
        <w:t xml:space="preserve">Limited Perquisites; Other Benefits. </w:t>
      </w:r>
      <w:r>
        <w:rPr>
          <w:rFonts w:ascii="Arial" w:cs="Arial" w:eastAsia="Arial" w:hAnsi="Arial"/>
          <w:sz w:val="18"/>
          <w:szCs w:val="18"/>
          <w:color w:val="auto"/>
        </w:rPr>
        <w:t>We provide our employees with a full complement of employee benefits, including health and dental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short term and long-term disability insurance, life insurance, a 401(k) plan, FSA flex plan and Section 125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for Executive Officers</w:t>
      </w:r>
    </w:p>
    <w:p>
      <w:pPr>
        <w:spacing w:after="0" w:line="224"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September 23, 2020, the Compensation Committee (the “Committee”) approved the elements of a compensation program for the executive officers of the Company. The Committee considered, and will continue to consider, best practices, marketplace, competitive and Company conditions when determining compensation levels.</w:t>
      </w:r>
    </w:p>
    <w:p>
      <w:pPr>
        <w:spacing w:after="0" w:line="186"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base salaries of the executive officers were increased by 15%, effective as of July 1, 2020, resulting in annualized base salaries of $460,000 for Carl Schwartz, the former Chief Executive Officer (“CEO”), and $345,000 for Bob Myers, the Chief Financial Officer (“CFO”). Thereafter, salaries were to be reviewed on or about February 28 of every year. Further, in recognition of various factors, including (i) the CEO and CFO not having received an incentive bonus opportunity for several years, (ii) recognition of the efforts of the officers for these years, and (iii) erosion of the amount of equity awards held by the CEO and CFO, including the reduced retention value inherent in those awards, the CEO and CFO were awarded a one-time, special interim grant of retention equity awards for 2020 on September 23, 2020. These awards consisted of 300,000 restricted stock units for the CEO and 100,000 restricted stock units for the CFO,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jc w:val="both"/>
        <w:ind w:firstLine="640"/>
        <w:spacing w:after="0" w:line="253" w:lineRule="auto"/>
        <w:rPr>
          <w:sz w:val="20"/>
          <w:szCs w:val="20"/>
          <w:color w:val="auto"/>
        </w:rPr>
      </w:pPr>
      <w:r>
        <w:rPr>
          <w:rFonts w:ascii="Arial" w:cs="Arial" w:eastAsia="Arial" w:hAnsi="Arial"/>
          <w:sz w:val="18"/>
          <w:szCs w:val="18"/>
          <w:color w:val="auto"/>
        </w:rPr>
        <w:t>In addition, the executive officers became eligible for an annual bonus and a long-term incentive program effective January 1, 2021. Based on Company and personal performance vs. annual objectives to be established by the officers and the Committee and to be evaluated by the Committee, the officers are granted an annual bonus opportunity ranging from 0% to 50% of base salary, or at the Board’s discretion, a higher percentage based on performance. Also, under the long-term incentive program, the officers are entitled to receive annual grants of restricted stock units on January 1 of each calendar year starting in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 for Executive Officers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On May 17, 2021, the Committee adopted and approved a 2021 Long Term Incentive Plan (the “LTIP”) to provide appropriate incentives to the Company’s executive officers over the critical three-year performance period consisting of fiscal years 2021, 2022 and 2023. Under the LTIP, the Company granted restricted stock units (“RSUs”) to the Company’s current CEO, J. Melville Engle, and its CFO, Bob Myers, pursuant to the Company’s Amended and Restated 2012 Stock Incentive Plan (as amended, the “Stock Incentive Plan”).</w:t>
      </w:r>
    </w:p>
    <w:p>
      <w:pPr>
        <w:spacing w:after="0" w:line="188"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The LTIP awards consist of 300,000 RSUs for the CEO and 150,000 RSUs for the CFO granted as of May 17, 2021. Each RSU award consists of three equal tranches, corresponding to the three years in the performance period. These RSUs will vest on January 1, 2024, with the level of vesting of each tranche based on (1) the level of achievement of performance goals for the corresponding fiscal year (see below) and (2) continued employment of the executive through January 1, 2024. For each tranche, the RSUs will vest at the 100% level for performance at the target level; 50% for performance at the threshold level (with no vesting below the threshold level); and 150% for maximum performance (in other words, for maximum performance on both performance components in a fiscal year, the payout for that year would be 150% of the number of RSUs in the corresponding tranche). The level of vesting for each component is prorated between the threshold level and the target level, and between the target level and the maximum level. To the extent vested, the awards will be paid out on or before March 15, 2024, following the determination of the Company’s earnings per share in 2023. To the extent vested, the awards will be paid out in shares of common stock.</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Performance-based vesting of the RSUs in the tranche for each fiscal year (100,000 RSUs per year for the CEO and 50,000 RSUs per year for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CFO) will be based equally on two components of performance:</w:t>
      </w:r>
    </w:p>
    <w:p>
      <w:pPr>
        <w:spacing w:after="0" w:line="207" w:lineRule="exact"/>
        <w:rPr>
          <w:sz w:val="20"/>
          <w:szCs w:val="20"/>
          <w:color w:val="auto"/>
        </w:rPr>
      </w:pPr>
    </w:p>
    <w:p>
      <w:pPr>
        <w:ind w:left="1280" w:hanging="633"/>
        <w:spacing w:after="0" w:line="270" w:lineRule="auto"/>
        <w:tabs>
          <w:tab w:leader="none" w:pos="12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Stock Price</w:t>
      </w:r>
      <w:r>
        <w:rPr>
          <w:rFonts w:ascii="Arial" w:cs="Arial" w:eastAsia="Arial" w:hAnsi="Arial"/>
          <w:sz w:val="18"/>
          <w:szCs w:val="18"/>
          <w:color w:val="auto"/>
        </w:rPr>
        <w:t>. A stock price component is based on the average closing share price of the Company’s common stock over the last 20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days of the fiscal year, as set forth in the LTIP.</w:t>
      </w:r>
    </w:p>
    <w:p>
      <w:pPr>
        <w:spacing w:after="0" w:line="174" w:lineRule="exact"/>
        <w:rPr>
          <w:rFonts w:ascii="Arial" w:cs="Arial" w:eastAsia="Arial" w:hAnsi="Arial"/>
          <w:sz w:val="18"/>
          <w:szCs w:val="18"/>
          <w:i w:val="1"/>
          <w:iCs w:val="1"/>
          <w:color w:val="auto"/>
        </w:rPr>
      </w:pPr>
    </w:p>
    <w:p>
      <w:pPr>
        <w:ind w:left="1280" w:hanging="633"/>
        <w:spacing w:after="0" w:line="270" w:lineRule="auto"/>
        <w:tabs>
          <w:tab w:leader="none" w:pos="12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r>
        <w:rPr>
          <w:rFonts w:ascii="Arial" w:cs="Arial" w:eastAsia="Arial" w:hAnsi="Arial"/>
          <w:sz w:val="18"/>
          <w:szCs w:val="18"/>
          <w:color w:val="auto"/>
        </w:rPr>
        <w:t>. An earnings component is based on the Company’s earnings (loss) per common share for that fiscal year,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LTIP.</w:t>
      </w:r>
    </w:p>
    <w:p>
      <w:pPr>
        <w:spacing w:after="0" w:line="175"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If the Committee determines that circumstances have changed and modification is required to reflect the original intent of the performance goals, the Committee may in its discretion increase (but not decrease) the number of RSUs that vest for any of the covered years.</w:t>
      </w:r>
    </w:p>
    <w:p>
      <w:pPr>
        <w:spacing w:after="0" w:line="152"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August 10, 2021, the stockholders approved an amendment to the Amended and Restated 2012 Stock Incentive Plan to increase the reserve of shares of common stock authorized for issuance thereunder by 1,500,000, to 3,250,000 shares. Therefore, all RSUs awarded under the LTIP will be paid in shares of common stock, rather than cash payments that might have been required had such plan amendment not been approved.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Employment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Former Chief Executive Officer</w:t>
      </w:r>
    </w:p>
    <w:p>
      <w:pPr>
        <w:spacing w:after="0" w:line="220" w:lineRule="exact"/>
        <w:rPr>
          <w:sz w:val="20"/>
          <w:szCs w:val="20"/>
          <w:color w:val="auto"/>
        </w:rPr>
      </w:pPr>
    </w:p>
    <w:p>
      <w:pPr>
        <w:ind w:right="580" w:firstLine="640"/>
        <w:spacing w:after="0" w:line="270" w:lineRule="auto"/>
        <w:rPr>
          <w:sz w:val="20"/>
          <w:szCs w:val="20"/>
          <w:color w:val="auto"/>
        </w:rPr>
      </w:pPr>
      <w:r>
        <w:rPr>
          <w:rFonts w:ascii="Arial" w:cs="Arial" w:eastAsia="Arial" w:hAnsi="Arial"/>
          <w:sz w:val="18"/>
          <w:szCs w:val="18"/>
          <w:color w:val="auto"/>
        </w:rPr>
        <w:t>On November 10, 2017, we entered into an employment agreement with Dr. Carl Schwartz, who has served as Chief Executive Officer since December 1, 2016. Under the agreement, the employment of Dr. Schwartz was at will.</w:t>
      </w:r>
    </w:p>
    <w:p>
      <w:pPr>
        <w:spacing w:after="0" w:line="175"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On July 1, 2019, we entered into an amended employment agreement with Dr. Schwartz. The annualized base salary for Dr. Schwartz was $400,000 for both 2019 and 2018. Such base salary could be adjusted by us, but could not be reduced except in connection with a reduction imposed on substantially all employees as part of a general reduction.</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On September 23, 2020, the Compensation Committee of the Board of Directors of the Company approved the elements of a compensation program for the executive officers of the Company. The base salaries of the executive officers were increased by 15%, effective as of July 1, 2020, resulting in an annualized base salary of $460,000 for Dr. Schwartz. In addition, Dr. Schwartz was awarded a one-time, special interim grant of retention equity awards for 2020 on September 23, 2020 of 300,000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Chief Executive Officer</w:t>
      </w:r>
    </w:p>
    <w:p>
      <w:pPr>
        <w:spacing w:after="0" w:line="220"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On March 19, 2021, Dr. Schwartz retired through his resignation as the Chief Executive Officer of the Company. In connection with the resignation, Dr. Schwartz and the Company simultaneously entered into a Transition and Separation Agreement pursuant to which, among other things, Dr. Schwartz agreed to retire from his employment and resign as a member of the Board and to provide certain transition services to the Company in exchange for the issuance to Dr. Schwartz of 100,000 shares of common stock. The Company and Dr. Schwartz also entered into an Agreement and Release pursuant to which, among other things, Dr. Schwartz and the Company released each other from any and all claims each may have against the other, and the Company agreed to provide Dr. Schwartz with certain separation benefits, including $460,000 (gross) in severance pay, equal to one year of his base salary, and the vesting of the 300,000 restricted stock units previously granted to Dr. Schwartz.</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Current Chief Executive Officer</w:t>
      </w:r>
    </w:p>
    <w:p>
      <w:pPr>
        <w:spacing w:after="0" w:line="22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On April 5, 2021, the Company and J. Melville Engle, the Company’s current Chief Executive Officer, entered into an Employment Agreement (the “Agreement”) effective as of March 19, 2021, the first date of Mr. Engle’s employment. Pursuant to the Agreement, Mr. Engle is entitled to an annual base salary of $475,000. He will also be eligible (i) to receive an annual cash bonus equal to up to 50% of his salary, or at the discretion of the Compensation Committee (the “Committee”) of the Company’s Board of Directors, a higher percentage based on his performance and (ii) to participate in a long-term incentive plan to be adopted and maintained by the Committee. Under the current long-term incentive plan, Mr. Engle will receive 100,000 restricted shares of Company common stock or restricted stock units for each of the next three calendar years of his employment, vesting over three years and subject to continued employment, with the amount that vests to be based on his performance. Mr. Engle will also be eligible to participate in the standard employee benefit plans generally available to executive employees of the Company, and, at the discretion of the Committee, to receive grants of stock options or other equity awards. Any grants of equity awards, including those above, will be made from the Company’s Amended and Restated 2012 Stock Incentive Plan or successor plans.</w:t>
      </w:r>
    </w:p>
    <w:p>
      <w:pPr>
        <w:spacing w:after="0" w:line="18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Under the Agreement, Mr. Engle’s employment by the Company is at-will. If his employment is terminated by the Company without “cause” or if he voluntarily resigns with “good reason” (in each case as defined in the Agreement), then Mr. Engle will be entitled to receive from the Company payment of his base salary then in effect through his last date of employment, plus accrued, unused vacation pay. In addition, Mr. Engle will be entitled to (a) severance pay in an amount equal to 12 months of his base salary then in effect, less applicable taxes and withholdings; and (b) a bonus payment on a pro-rata basis through the date of his termination.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4" w:name="page25"/>
    <w:bookmarkEnd w:id="24"/>
    <w:p>
      <w:pPr>
        <w:jc w:val="both"/>
        <w:ind w:firstLine="640"/>
        <w:spacing w:after="0" w:line="258" w:lineRule="auto"/>
        <w:rPr>
          <w:sz w:val="20"/>
          <w:szCs w:val="20"/>
          <w:color w:val="auto"/>
        </w:rPr>
      </w:pPr>
      <w:r>
        <w:rPr>
          <w:rFonts w:ascii="Arial" w:cs="Arial" w:eastAsia="Arial" w:hAnsi="Arial"/>
          <w:sz w:val="18"/>
          <w:szCs w:val="18"/>
          <w:color w:val="auto"/>
        </w:rPr>
        <w:t>The Agreement also contains customary provisions with respect to confidentiality and intellectual property, in addition to ones prohibiting Mr. Engle from soliciting the Company’s employees and from engaging in certain activities that are competitive with the Company for a period of 12 months after termination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Financial Officer</w:t>
      </w:r>
    </w:p>
    <w:p>
      <w:pPr>
        <w:spacing w:after="0" w:line="220"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16"/>
          <w:szCs w:val="16"/>
          <w:color w:val="auto"/>
        </w:rPr>
        <w:t>On August 13, 2012, we entered into an employment agreement with Bob Myers, who has served as Chief Financial Officer since July 1, 2012. Under the agreement the employment of Mr. Myers is at will. Salary for Mr. Myers may be adjusted by us but may not be reduced except in connection with a reduction imposed on substantially all employees as part of a general reduction. He will also be eligible to receive an annual incentive bonus for each calendar year based on the attainment of certain objectives. Effective August 1, 2019, Mr. Myers received an annualized base salary of $300,000. The base salaries of the executive officers were increased by 15%, effective as of July 1, 2020, resulting in an annualized base salary of $345,000 for Mr. Myers.</w:t>
      </w:r>
    </w:p>
    <w:p>
      <w:pPr>
        <w:spacing w:after="0" w:line="162"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On September 23, 2020, Mr. Myers was awarded a one-time, special grant of 100,000 restricted stock units payable in shares of common stock,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15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If we terminate Mr. Myers’ employment without “cause” or if he terminates his employment for “good reason” (in each case as defined in the Agreement), he shall be entitled to receive us severance pay in an amount equal to twelve months of base salary, less applicable taxes and withholdings. In that event, he will receive a bonus payment on a pro-rata basis through the date of termination and any accrued, unused vacation pay. During Mr. Myers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4"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Most of our stock option agreements provide for an acceleration of vesting in the event of a change in control as defined in the agreements and in the 2012 Stock Incentive Plan. However, the stock option agreements awarded to each of Messrs. Engle and Myers provide that upon the termination of such employee’s employment without cause or for good reason, such employee’s options shall become fully vested, and the vested shares may be purchased for up to five years after such termination (or such lesser period for the option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w:t>
      </w:r>
    </w:p>
    <w:p>
      <w:pPr>
        <w:spacing w:after="0" w:line="22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Effective on June 17, 2020, the Board instituted a compensation program for the directors under which the directors receive awards of common stock and cash for service on the Board and committees. In each case, the total award consists of approximately 72% in value of common stock and 28% in cash, or at the election of the director, 100% in value of common stock. For Board service, each director receives a quarterly award of $8,333 on the last day of each quarter, or an annualized amount of $33,333 in awards. Additionally, directors receive a $10,000 award per year annually for three years. For each board committee, each director receives an additional annual award of $11,112. The Chairman receives an additional annual award of $20,835. Director compensation will continue to be paid to all members of the Board through December 31, 2021. Starting in 2022, director compensation will be limited to non-employee directors (directors who are not employees of the Company or any subsidiary and who do not receive regular long-term cash compensation as consultants). This compensation program replaces previous programs, described below, under which the directors received grants of stock options as compensation.</w:t>
      </w:r>
    </w:p>
    <w:p>
      <w:pPr>
        <w:spacing w:after="0" w:line="185"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Prior to June 17, 2020, Board members were compensated with a quarterly and an annual stock options award program for all the directors under which they were awarded options to purchase $5,000 worth of shares of common stock at an exercise price determined by the close on the last day of the quarter. Additionally, the directors that served on a committee received options to purchase $10,000 worth of shares of common stock annually, per committee served. Further, effective on April 3, 2020, the Board instituted an annual stock options award program for the Chairman of the Board under which he/she would be awarded options to purchase $20,000 worth of shares of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Fiscal 2020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paid to each director who served during the fiscal year ended 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8"/>
                <w:szCs w:val="18"/>
                <w:b w:val="1"/>
                <w:bCs w:val="1"/>
                <w:color w:val="auto"/>
              </w:rPr>
              <w:t>Fees Paid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511"/>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4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3"/>
              </w:rPr>
              <w:t>Earned in Cash</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8"/>
              </w:rPr>
              <w:t>Stock Awards (2)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Awards (1)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Total</w:t>
            </w: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60,542</w:t>
            </w:r>
            <w:r>
              <w:rPr>
                <w:rFonts w:ascii="Arial" w:cs="Arial" w:eastAsia="Arial" w:hAnsi="Arial"/>
                <w:sz w:val="14"/>
                <w:szCs w:val="14"/>
                <w:color w:val="auto"/>
              </w:rPr>
              <w:t>(3)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70,542</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Carl Schwartz</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27,136</w:t>
            </w:r>
            <w:r>
              <w:rPr>
                <w:rFonts w:ascii="Arial" w:cs="Arial" w:eastAsia="Arial" w:hAnsi="Arial"/>
                <w:sz w:val="14"/>
                <w:szCs w:val="14"/>
                <w:color w:val="auto"/>
              </w:rPr>
              <w:t>(4)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37,136</w:t>
            </w: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Charles Nuzum Sr.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25,061</w:t>
            </w:r>
            <w:r>
              <w:rPr>
                <w:rFonts w:ascii="Arial" w:cs="Arial" w:eastAsia="Arial" w:hAnsi="Arial"/>
                <w:sz w:val="14"/>
                <w:szCs w:val="14"/>
                <w:color w:val="auto"/>
              </w:rPr>
              <w:t>(5)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35,061</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Daniel Handley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27,136</w:t>
            </w:r>
            <w:r>
              <w:rPr>
                <w:rFonts w:ascii="Arial" w:cs="Arial" w:eastAsia="Arial" w:hAnsi="Arial"/>
                <w:sz w:val="14"/>
                <w:szCs w:val="14"/>
                <w:color w:val="auto"/>
              </w:rPr>
              <w:t>(6)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37,136</w:t>
            </w: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Gregory St. Clair Sr.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w:t>
            </w:r>
            <w:r>
              <w:rPr>
                <w:rFonts w:ascii="Arial" w:cs="Arial" w:eastAsia="Arial" w:hAnsi="Arial"/>
                <w:sz w:val="14"/>
                <w:szCs w:val="14"/>
                <w:color w:val="auto"/>
              </w:rPr>
              <w:t>(7)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26,710</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Nancy Chung-Welch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25,061</w:t>
            </w:r>
            <w:r>
              <w:rPr>
                <w:rFonts w:ascii="Arial" w:cs="Arial" w:eastAsia="Arial" w:hAnsi="Arial"/>
                <w:sz w:val="14"/>
                <w:szCs w:val="14"/>
                <w:color w:val="auto"/>
              </w:rPr>
              <w:t>(8)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35,061</w:t>
            </w: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Richard Gabriel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27,136</w:t>
            </w:r>
            <w:r>
              <w:rPr>
                <w:rFonts w:ascii="Arial" w:cs="Arial" w:eastAsia="Arial" w:hAnsi="Arial"/>
                <w:sz w:val="14"/>
                <w:szCs w:val="14"/>
                <w:color w:val="auto"/>
              </w:rPr>
              <w:t>(9)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37,136</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Andrew Reding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10,246</w:t>
            </w:r>
            <w:r>
              <w:rPr>
                <w:rFonts w:ascii="Arial" w:cs="Arial" w:eastAsia="Arial" w:hAnsi="Arial"/>
                <w:sz w:val="14"/>
                <w:szCs w:val="14"/>
                <w:color w:val="auto"/>
              </w:rPr>
              <w:t>(10)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10,246</w:t>
            </w: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Gerald John Vardzel Jr.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r>
              <w:rPr>
                <w:rFonts w:ascii="Arial" w:cs="Arial" w:eastAsia="Arial" w:hAnsi="Arial"/>
                <w:sz w:val="14"/>
                <w:szCs w:val="14"/>
                <w:color w:val="auto"/>
              </w:rPr>
              <w:t>(11)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16,248</w:t>
            </w:r>
          </w:p>
        </w:tc>
      </w:tr>
      <w:tr>
        <w:trPr>
          <w:trHeight w:val="226"/>
        </w:trPr>
        <w:tc>
          <w:tcPr>
            <w:tcW w:w="4520" w:type="dxa"/>
            <w:vAlign w:val="bottom"/>
          </w:tcPr>
          <w:p>
            <w:pPr>
              <w:spacing w:after="0"/>
              <w:rPr>
                <w:sz w:val="20"/>
                <w:szCs w:val="20"/>
                <w:color w:val="auto"/>
              </w:rPr>
            </w:pPr>
            <w:r>
              <w:rPr>
                <w:rFonts w:ascii="Arial" w:cs="Arial" w:eastAsia="Arial" w:hAnsi="Arial"/>
                <w:sz w:val="18"/>
                <w:szCs w:val="18"/>
                <w:color w:val="auto"/>
              </w:rPr>
              <w:t>Pamela Prior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6,248</w:t>
            </w:r>
            <w:r>
              <w:rPr>
                <w:rFonts w:ascii="Arial" w:cs="Arial" w:eastAsia="Arial" w:hAnsi="Arial"/>
                <w:sz w:val="14"/>
                <w:szCs w:val="14"/>
                <w:color w:val="auto"/>
              </w:rPr>
              <w:t>(12)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6,248</w:t>
            </w:r>
          </w:p>
        </w:tc>
      </w:tr>
    </w:tbl>
    <w:p>
      <w:pPr>
        <w:spacing w:after="0" w:line="186" w:lineRule="exact"/>
        <w:rPr>
          <w:sz w:val="20"/>
          <w:szCs w:val="20"/>
          <w:color w:val="auto"/>
        </w:rPr>
      </w:pPr>
    </w:p>
    <w:p>
      <w:pPr>
        <w:ind w:left="640" w:right="460" w:hanging="313"/>
        <w:spacing w:after="0" w:line="25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Represents the actual compensation cost granted during 2020 as determined pursuant to FASB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utilizing the assumptions discussed in Note 5, “Stockholder’s Equity, Stock Options, and Warrants,” in the notes to the financial statements included in this report.</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Represents the actual compensation cost granted during 2020 as determined pursuant to FASB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Mr. Engle was awarded options to purchase 60,153 shares of common stock both for serving on the Board and for participating on the Audit,</w:t>
      </w:r>
    </w:p>
    <w:p>
      <w:pPr>
        <w:spacing w:after="0" w:line="18" w:lineRule="exact"/>
        <w:rPr>
          <w:rFonts w:ascii="Arial" w:cs="Arial" w:eastAsia="Arial" w:hAnsi="Arial"/>
          <w:sz w:val="18"/>
          <w:szCs w:val="18"/>
          <w:color w:val="auto"/>
        </w:rPr>
      </w:pPr>
    </w:p>
    <w:p>
      <w:pPr>
        <w:ind w:left="640" w:hanging="313"/>
        <w:spacing w:after="0" w:line="27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 and Governance Committees. Mr. Engle was awarded options to purchase 15,267 shares of common stock for serving as Chairman of the Board. Mr. Engle was awarded common stock equaling $7,000 in value based on the closing price on the day before issuance.</w:t>
      </w:r>
    </w:p>
    <w:p>
      <w:pPr>
        <w:ind w:left="640" w:right="180" w:hanging="313"/>
        <w:spacing w:after="0" w:line="316"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Schwartz was awarded options to purchase 32,846 shares of common stock both for serving on the Board and participating on the Merger &amp; Acquisition Committee. Dr. Schwartz was awarded common stock equaling $7,000 in value based on the closing price on the day before issuance.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6" w:name="page27"/>
    <w:bookmarkEnd w:id="26"/>
    <w:p>
      <w:pPr>
        <w:ind w:left="640" w:right="200" w:hanging="313"/>
        <w:spacing w:after="0" w:line="25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Nuzum was awarded options to purchase 40,277 shares of common stock both for serving on the Board and for participating on the Audit and Compensation Committees. Mr. Nuzum was awarded common stock equaling $10,000 in value based on the closing price on the day before issuance.</w:t>
      </w:r>
    </w:p>
    <w:p>
      <w:pPr>
        <w:spacing w:after="0" w:line="1" w:lineRule="exact"/>
        <w:rPr>
          <w:rFonts w:ascii="Arial" w:cs="Arial" w:eastAsia="Arial" w:hAnsi="Arial"/>
          <w:sz w:val="18"/>
          <w:szCs w:val="18"/>
          <w:color w:val="auto"/>
        </w:rPr>
      </w:pPr>
    </w:p>
    <w:p>
      <w:pPr>
        <w:ind w:left="640" w:hanging="313"/>
        <w:spacing w:after="0" w:line="278"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Dr. Handley was awarded options to purchase 32,846 shares of common stock both for serving on the Board and for participating on the Governance Committee. Dr. Handley was awarded common stock equaling $7,000 in value based on the closing price on the day before issuance.</w:t>
      </w:r>
    </w:p>
    <w:p>
      <w:pPr>
        <w:ind w:left="640" w:right="440" w:hanging="313"/>
        <w:spacing w:after="0" w:line="278"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St. Clair was awarded options to purchase 26,623 shares of common stock both for serving on the Board and for participating on the Audit Committee. Mr. St. Clair was awarded common stock equaling $7,000 in value based on the closing price on the day before issuance.</w:t>
      </w:r>
    </w:p>
    <w:p>
      <w:pPr>
        <w:ind w:left="640" w:right="60" w:hanging="313"/>
        <w:spacing w:after="0" w:line="24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Chung-Welch was awarded options to purchase 40,277 shares of common stock both for serving on the Board and for participating on the Compensation and Merger &amp; Acquisition Committees. Dr. Chung-Welch was awarded common stock equaling $7,000 in value based on the closing price on the day before issuance.</w:t>
      </w:r>
    </w:p>
    <w:p>
      <w:pPr>
        <w:spacing w:after="0" w:line="1" w:lineRule="exact"/>
        <w:rPr>
          <w:rFonts w:ascii="Arial" w:cs="Arial" w:eastAsia="Arial" w:hAnsi="Arial"/>
          <w:sz w:val="18"/>
          <w:szCs w:val="18"/>
          <w:color w:val="auto"/>
        </w:rPr>
      </w:pPr>
    </w:p>
    <w:p>
      <w:pPr>
        <w:ind w:left="640" w:right="240" w:hanging="313"/>
        <w:spacing w:after="0" w:line="24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Richard Gabriel was awarded options to purchase 32,846 shares of common stock both for serving on the Board and for participating on the Merger &amp; Acquisition Committee. Mr. Gabriel was awarded common stock equaling $7,000 in value based on the closing price on the day before issuance.</w:t>
      </w:r>
    </w:p>
    <w:p>
      <w:pPr>
        <w:spacing w:after="0" w:line="1" w:lineRule="exact"/>
        <w:rPr>
          <w:rFonts w:ascii="Arial" w:cs="Arial" w:eastAsia="Arial" w:hAnsi="Arial"/>
          <w:sz w:val="18"/>
          <w:szCs w:val="18"/>
          <w:color w:val="auto"/>
        </w:rPr>
      </w:pPr>
    </w:p>
    <w:p>
      <w:pPr>
        <w:ind w:left="640" w:right="100" w:hanging="313"/>
        <w:spacing w:after="0" w:line="262"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Reding resigned from the Board effective July 8, 2020. Mr. Reding was awarded options to purchase 6,223 shares of common stock for serving on the Board.</w:t>
      </w:r>
    </w:p>
    <w:p>
      <w:pPr>
        <w:ind w:left="640" w:hanging="313"/>
        <w:spacing w:after="0" w:line="262"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Vardzel resigned from the Board effective June 8, 2020. Mr. Vardzel was awarded options to purchase 3,174 shares of common stock for serving on the Board.</w:t>
      </w:r>
    </w:p>
    <w:p>
      <w:pPr>
        <w:ind w:left="640" w:right="40" w:hanging="313"/>
        <w:spacing w:after="0" w:line="284"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Ms. Prior resigned from the Board effective June 16, 2020. Ms. Prior was awarded options to purchase 3,174 shares of common stock for serving on the Board.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RATIFICATION OF SELECTION OF INDEPENDENT AUDITORS</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Audit Committee has selected Baker Tilly Virchow Krause, LLP (“Baker Tilly”) as Predictive’s independent auditors for the fiscal year ending December 31, 2021 and has further directed that management submit the selection of independent auditors for ratification by the stockholders at the Special Meeting. Representatives of Baker Tilly are expected to be present at the Special Meeting. They will have an opportunity to make a statement if they so desire and will be available to respond to appropriate questions.</w:t>
      </w:r>
    </w:p>
    <w:p>
      <w:pPr>
        <w:spacing w:after="0" w:line="188"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Neither the Company’s Second Amended and Restated Bylaws nor other governing documents or law require stockholder ratification of the selection of Baker Tilly as Predictive’s independent auditors. However, the Audit Committee of the Board is submitting the selection of Baker Tilly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90"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affirmative vote of the majority of all shares present and entitled to vote on the matter, either in person or by proxy, will be required to ratify the selection of Baker Tilly. Abstentions will be counted toward the tabulation of votes cast on proposals presented to the stockholders and will have the same effect as negative votes. There will be no broker non-votes.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In connection with the audit of the fiscal 2021 financial statements, Predictive entered into an engagement agreement with Baker Tilly, which sets forth the terms by which Baker Tilly will perform audit services for Predictive.</w:t>
      </w:r>
    </w:p>
    <w:p>
      <w:pPr>
        <w:spacing w:after="0" w:line="175" w:lineRule="exact"/>
        <w:rPr>
          <w:sz w:val="20"/>
          <w:szCs w:val="20"/>
          <w:color w:val="auto"/>
        </w:rPr>
      </w:pPr>
    </w:p>
    <w:p>
      <w:pPr>
        <w:ind w:right="200" w:firstLine="640"/>
        <w:spacing w:after="0" w:line="258" w:lineRule="auto"/>
        <w:rPr>
          <w:sz w:val="20"/>
          <w:szCs w:val="20"/>
          <w:color w:val="auto"/>
        </w:rPr>
      </w:pPr>
      <w:r>
        <w:rPr>
          <w:rFonts w:ascii="Arial" w:cs="Arial" w:eastAsia="Arial" w:hAnsi="Arial"/>
          <w:sz w:val="18"/>
          <w:szCs w:val="18"/>
          <w:color w:val="auto"/>
        </w:rPr>
        <w:t>The following table represents aggregate fees billed to the Company (i) for the fiscal year ended December 31, 2020 by Baker Tilly and (i) for the fiscal year ended December 31, 2019 by Deloitte &amp; Touche LLP (“Deloitte”), the Company’s principal accountants for those periods. All fees described below were approved by the Audit Committee.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306,235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530,128</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Audit-Related Fees (2)</w:t>
            </w:r>
          </w:p>
        </w:tc>
        <w:tc>
          <w:tcPr>
            <w:tcW w:w="3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34,719</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All Other Fees (4)</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37,415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80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393,361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564,847</w:t>
            </w:r>
          </w:p>
        </w:tc>
      </w:tr>
    </w:tbl>
    <w:p>
      <w:pPr>
        <w:spacing w:after="0" w:line="199" w:lineRule="exact"/>
        <w:rPr>
          <w:sz w:val="20"/>
          <w:szCs w:val="20"/>
          <w:color w:val="auto"/>
        </w:rPr>
      </w:pPr>
    </w:p>
    <w:p>
      <w:pPr>
        <w:ind w:left="480" w:right="120" w:firstLine="7"/>
        <w:spacing w:after="0" w:line="252" w:lineRule="auto"/>
        <w:tabs>
          <w:tab w:leader="none" w:pos="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were principally for services rendered for the audit and/or review of Predictive’s consolidated financial statements. Also, includes fees for services rendered in connection with the filing of registration statements and other documents with the SEC, the issuance of accountant consents and comfort letters.</w:t>
      </w:r>
    </w:p>
    <w:p>
      <w:pPr>
        <w:spacing w:after="0" w:line="1" w:lineRule="exact"/>
        <w:rPr>
          <w:rFonts w:ascii="Arial" w:cs="Arial" w:eastAsia="Arial" w:hAnsi="Arial"/>
          <w:sz w:val="18"/>
          <w:szCs w:val="18"/>
          <w:color w:val="auto"/>
        </w:rPr>
      </w:pPr>
    </w:p>
    <w:p>
      <w:pPr>
        <w:ind w:left="480" w:right="60" w:firstLine="7"/>
        <w:spacing w:after="0" w:line="247" w:lineRule="auto"/>
        <w:tabs>
          <w:tab w:leader="none" w:pos="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in 2020 consisted of fees related to providing predecessor auditor with required representations related to registration statements filed in 2020, and there were no audit-related fees in 2019.Includes 33,334 Restricted Stock Units vesting within 60 days of June 16, 2021. Includes options to purchase 47,478 shares that are exercisable within 60 days of June 16, 2021.</w:t>
      </w:r>
    </w:p>
    <w:p>
      <w:pPr>
        <w:spacing w:after="0" w:line="1" w:lineRule="exact"/>
        <w:rPr>
          <w:rFonts w:ascii="Arial" w:cs="Arial" w:eastAsia="Arial" w:hAnsi="Arial"/>
          <w:sz w:val="18"/>
          <w:szCs w:val="18"/>
          <w:color w:val="auto"/>
        </w:rPr>
      </w:pPr>
    </w:p>
    <w:p>
      <w:pPr>
        <w:ind w:left="480" w:right="320" w:firstLine="7"/>
        <w:spacing w:after="0" w:line="247" w:lineRule="auto"/>
        <w:tabs>
          <w:tab w:leader="none" w:pos="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Fees consist of fees billed in the indicated year for professional services performed by Baker Tilly US, LLP with respect to tax compliance during 2020 and Deloitte with respect to tax compliance during 2019.</w:t>
      </w:r>
    </w:p>
    <w:p>
      <w:pPr>
        <w:ind w:left="480" w:right="20" w:firstLine="7"/>
        <w:spacing w:after="0" w:line="250" w:lineRule="auto"/>
        <w:tabs>
          <w:tab w:leader="none" w:pos="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Fees consist of fees related to consulting services performed by Baker Tilly US, LLP provided prior to Baker Tilly US, LLP’s engagement as the Company’s independent registered public accounting firm. All services were provided prior to April 1, 2020 and were related to the audit closing process for the year ended December 31, 2019 as further described in the Company’s Form 8-K filing on April 30, 2020. There were no other fees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4"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The Audit Committee is required to pre-approve the audit and non-audit services performed by Predictive’s independent auditors. The Audit Committee may not approve non-audit services prohibited by applicable regulations of the SEC if such services are to be provided contemporaneously while serving as independent auditors. The Audit Committee has delegated authority to the Chairman of the Audit Committee to approve the commencement of permissible non-audit related services to be performed by the independent auditors and the fees payable for such services, provided that the full Audit Committee subsequently ratifies and approves all such services. The Audit Committee has determined that the rendering of the services other than audit services by Baker Tilly is compatible with maintaining the principal accountant’s independence.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Independent Registered Public Accounting Firm</w:t>
      </w:r>
    </w:p>
    <w:p>
      <w:pPr>
        <w:spacing w:after="0" w:line="224"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On April 24, 2020, the Company dismissed Deloitte as the Company’s independent registered public accounting firm in connection with auditing the Company’s financial statements commencing fiscal year 2020. On April 24, 2020, the Audit Committee formally approved the engagement of Baker Tilly as the Company’s independent registered public accounting firm for the fiscal year ending December 31, 2020.</w:t>
      </w:r>
    </w:p>
    <w:p>
      <w:pPr>
        <w:spacing w:after="0" w:line="167"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The reports of Deloitte on the Company’s audited consolidated financial statements for the two most recent fiscal years ended December 31, 2019 and 2018 (the “Deloitte Reports”) did not contain an adverse opinion or a disclaimer of opinion, nor were they qualified or modified as to uncertainty, audit scope, or accounting principles. The Deloitte Reports did, however, include an explanatory paragraph related to the substantial doubt about the Company’s ability to continue as a going concern. During the Company’s two most recent fiscal years ended December 31, 2019 and 2018, and during the subsequent interim period preceding Deloitte’s dismissal, there were no disagreements with Deloitte on any matter of accounting principles or practices, financial statement disclosures, or auditing scope or procedures, which disagreements, if not resolved to the satisfaction of Deloitte would have caused Deloitte to make reference to the subject matter of the disagreements in connection with the Deloitte Reports.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8" w:name="page29"/>
    <w:bookmarkEnd w:id="28"/>
    <w:p>
      <w:pPr>
        <w:jc w:val="both"/>
        <w:ind w:firstLine="640"/>
        <w:spacing w:after="0" w:line="250" w:lineRule="auto"/>
        <w:rPr>
          <w:sz w:val="20"/>
          <w:szCs w:val="20"/>
          <w:color w:val="auto"/>
        </w:rPr>
      </w:pPr>
      <w:r>
        <w:rPr>
          <w:rFonts w:ascii="Arial" w:cs="Arial" w:eastAsia="Arial" w:hAnsi="Arial"/>
          <w:sz w:val="18"/>
          <w:szCs w:val="18"/>
          <w:color w:val="auto"/>
        </w:rPr>
        <w:t>As disclosed in the Company’s Form 10-K for the year ended December 31, 2019 filed with the SEC on April 1, 2020 (the “2019 10-K”), in connection with its evaluation of the effectiveness of its internal control over financial reporting (as defined in Rule 13a-15(f) under the Securities Exchange Act of 1934) as of December 31, 2019, the Company concluded that its internal control over financial reporting was not effective as of December 31, 2019 due to a material weakness. Management determined that the Company has not maintained adequate accounting resources with a sufficient understanding of U.S. GAAP to allow the Company to properly identify and account for new complex transactions. The Company’s activities to remediate this material weakness are disclosed in the 2019 10-K. Deloitte discussed this material weakness with the Audit Committee of the Board of Directors of the Company. The Company authorized Deloitte to respond fully to the inquiries by the successor independent registered public accounting firm concerning this material weakness.</w:t>
      </w:r>
    </w:p>
    <w:p>
      <w:pPr>
        <w:spacing w:after="0" w:line="196"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The Company provided Deloitte with a copy of its Current Report on Form 8-K filed with the SEC on April 30, 2020 and disclosing Deloitte’s dismissal prior to its filing and requested that Deloitte furnish the Company with a letter addressed to the SEC stating whether Deloitte agrees with the above statements. A copy of the letter from Deloitte dated April 30, 2020 is filed with the Current Report as Exhibit 16.1.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New Independent Registered Public Accounting Firm</w:t>
      </w:r>
    </w:p>
    <w:p>
      <w:pPr>
        <w:spacing w:after="0" w:line="224" w:lineRule="exact"/>
        <w:rPr>
          <w:sz w:val="20"/>
          <w:szCs w:val="20"/>
          <w:color w:val="auto"/>
        </w:rPr>
      </w:pPr>
    </w:p>
    <w:p>
      <w:pPr>
        <w:ind w:right="420" w:firstLine="640"/>
        <w:spacing w:after="0" w:line="258" w:lineRule="auto"/>
        <w:rPr>
          <w:sz w:val="20"/>
          <w:szCs w:val="20"/>
          <w:color w:val="auto"/>
        </w:rPr>
      </w:pPr>
      <w:r>
        <w:rPr>
          <w:rFonts w:ascii="Arial" w:cs="Arial" w:eastAsia="Arial" w:hAnsi="Arial"/>
          <w:sz w:val="18"/>
          <w:szCs w:val="18"/>
          <w:color w:val="auto"/>
        </w:rPr>
        <w:t>As set forth above, concurrent with the decision to dismiss Deloitte as the Company’s independent registered public accounting firm, the Audit Committee approved the engagement of Baker Tilly as the Company’s new independent registered public accounting firm, subject to completion of its standard client acceptance procedures.</w:t>
      </w:r>
    </w:p>
    <w:p>
      <w:pPr>
        <w:spacing w:after="0" w:line="182" w:lineRule="exact"/>
        <w:rPr>
          <w:sz w:val="20"/>
          <w:szCs w:val="20"/>
          <w:color w:val="auto"/>
        </w:rPr>
      </w:pPr>
    </w:p>
    <w:p>
      <w:pPr>
        <w:ind w:right="180" w:firstLine="640"/>
        <w:spacing w:after="0" w:line="274" w:lineRule="auto"/>
        <w:rPr>
          <w:sz w:val="20"/>
          <w:szCs w:val="20"/>
          <w:color w:val="auto"/>
        </w:rPr>
      </w:pPr>
      <w:r>
        <w:rPr>
          <w:rFonts w:ascii="Arial" w:cs="Arial" w:eastAsia="Arial" w:hAnsi="Arial"/>
          <w:sz w:val="18"/>
          <w:szCs w:val="18"/>
          <w:b w:val="1"/>
          <w:bCs w:val="1"/>
          <w:color w:val="auto"/>
        </w:rPr>
        <w:t>THE PREDICTIVE BOARD UNANIMOUSLY RECOMMENDS THAT YOU VOTE “FOR” THE RATIFICATION OF BAKER TILLY AS THE COMPANY’S INDEPENDENT REGISTERED PUBLIC ACCOUNTING FIRM.</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07"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October 26, 2021 (except where otherwise indicated) for:</w:t>
      </w:r>
    </w:p>
    <w:p>
      <w:pPr>
        <w:spacing w:after="0" w:line="175" w:lineRule="exact"/>
        <w:rPr>
          <w:sz w:val="20"/>
          <w:szCs w:val="20"/>
          <w:color w:val="auto"/>
        </w:rPr>
      </w:pPr>
    </w:p>
    <w:p>
      <w:pPr>
        <w:ind w:left="1280" w:hanging="633"/>
        <w:spacing w:after="0" w:line="270"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or group of affiliated persons, who are known by us to beneficially own more than 5% of the outstanding shares of common stock;</w:t>
      </w:r>
    </w:p>
    <w:p>
      <w:pPr>
        <w:spacing w:after="0" w:line="174" w:lineRule="exact"/>
        <w:rPr>
          <w:rFonts w:ascii="Arial" w:cs="Arial" w:eastAsia="Arial" w:hAnsi="Arial"/>
          <w:sz w:val="18"/>
          <w:szCs w:val="18"/>
          <w:color w:val="auto"/>
        </w:rPr>
      </w:pPr>
    </w:p>
    <w:p>
      <w:pPr>
        <w:ind w:left="1280" w:hanging="63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of the named executive officers, as identified in our Annual Report on Form 10-K filed with the SEC on March 15, 2021; and</w:t>
      </w:r>
    </w:p>
    <w:p>
      <w:pPr>
        <w:spacing w:after="0" w:line="231" w:lineRule="exact"/>
        <w:rPr>
          <w:rFonts w:ascii="Arial" w:cs="Arial" w:eastAsia="Arial" w:hAnsi="Arial"/>
          <w:sz w:val="17"/>
          <w:szCs w:val="17"/>
          <w:color w:val="auto"/>
        </w:rPr>
      </w:pPr>
    </w:p>
    <w:p>
      <w:pPr>
        <w:ind w:left="1280" w:hanging="63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the current directors and executive officers as a group.</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number of shares owned, total shares beneficially owned, and the percentage of common stock beneficially owned below assumes 65,580,870 shares of our common stock outstanding on October 26, 2021.</w:t>
      </w:r>
    </w:p>
    <w:p>
      <w:pPr>
        <w:spacing w:after="0" w:line="17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Beneficial ownership is determined under SEC rules and includes sole or shared power to vote or dispose of shares of Company common stock. The number and percentage of shares beneficially owned by a person or entity also include shares of common stock subject to stock options that are currently exercisable or become exercisable within 60 days of October 26, 2021. However, these shares are not deemed to be outstanding for the purpose of computing the percentage of shares beneficially owned of any other person or entity. Except as indicated in footnotes to the table below or, where applicable, to the extent authority is shares by spouses under community property laws, the beneficial owners named in the table have, to our knowledge, sole voting and dispositive power with respect to all shares of common stock shown to be beneficially owned by them.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9" w:name="page30"/>
    <w:bookmarkEnd w:id="29"/>
    <w:p>
      <w:pPr>
        <w:ind w:left="640"/>
        <w:spacing w:after="0"/>
        <w:rPr>
          <w:sz w:val="20"/>
          <w:szCs w:val="20"/>
          <w:color w:val="auto"/>
        </w:rPr>
      </w:pPr>
      <w:r>
        <w:rPr>
          <w:rFonts w:ascii="Arial" w:cs="Arial" w:eastAsia="Arial" w:hAnsi="Arial"/>
          <w:sz w:val="18"/>
          <w:szCs w:val="18"/>
          <w:color w:val="auto"/>
        </w:rPr>
        <w:t>Unless otherwise indicated, the address for each stockholder listed is: 2915 Commers Drive, Suite 900, Eagan, Minnesota 55121.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and</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8"/>
        </w:trPr>
        <w:tc>
          <w:tcPr>
            <w:tcW w:w="7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Nature of</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r>
      <w:tr>
        <w:trPr>
          <w:trHeight w:val="267"/>
        </w:trPr>
        <w:tc>
          <w:tcPr>
            <w:tcW w:w="7860" w:type="dxa"/>
            <w:vAlign w:val="bottom"/>
            <w:tcBorders>
              <w:bottom w:val="single" w:sz="8" w:color="auto"/>
            </w:tcBorders>
          </w:tcPr>
          <w:p>
            <w:pPr>
              <w:ind w:left="2920"/>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Pr>
          <w:p>
            <w:pPr>
              <w:spacing w:after="0"/>
              <w:rPr>
                <w:sz w:val="23"/>
                <w:szCs w:val="23"/>
                <w:color w:val="auto"/>
              </w:rPr>
            </w:pPr>
          </w:p>
        </w:tc>
        <w:tc>
          <w:tcPr>
            <w:tcW w:w="156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5"/>
              </w:rPr>
              <w:t>Ownership</w:t>
            </w:r>
            <w:r>
              <w:rPr>
                <w:rFonts w:ascii="Arial" w:cs="Arial" w:eastAsia="Arial" w:hAnsi="Arial"/>
                <w:sz w:val="29"/>
                <w:szCs w:val="29"/>
                <w:b w:val="1"/>
                <w:bCs w:val="1"/>
                <w:color w:val="auto"/>
                <w:w w:val="85"/>
                <w:vertAlign w:val="superscript"/>
              </w:rPr>
              <w:t>(1)</w:t>
            </w:r>
          </w:p>
        </w:tc>
        <w:tc>
          <w:tcPr>
            <w:tcW w:w="100" w:type="dxa"/>
            <w:vAlign w:val="bottom"/>
          </w:tcPr>
          <w:p>
            <w:pPr>
              <w:spacing w:after="0"/>
              <w:rPr>
                <w:sz w:val="23"/>
                <w:szCs w:val="2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r>
      <w:tr>
        <w:trPr>
          <w:trHeight w:val="207"/>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Officers and Directors</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4"/>
        </w:trPr>
        <w:tc>
          <w:tcPr>
            <w:tcW w:w="7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J. Melville Engle</w:t>
            </w:r>
            <w:r>
              <w:rPr>
                <w:rFonts w:ascii="Arial" w:cs="Arial" w:eastAsia="Arial" w:hAnsi="Arial"/>
                <w:sz w:val="29"/>
                <w:szCs w:val="29"/>
                <w:color w:val="auto"/>
                <w:vertAlign w:val="superscript"/>
              </w:rPr>
              <w:t>(2)</w:t>
            </w:r>
          </w:p>
        </w:tc>
        <w:tc>
          <w:tcPr>
            <w:tcW w:w="16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148,604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4"/>
        </w:trPr>
        <w:tc>
          <w:tcPr>
            <w:tcW w:w="7860" w:type="dxa"/>
            <w:vAlign w:val="bottom"/>
          </w:tcPr>
          <w:p>
            <w:pPr>
              <w:spacing w:after="0" w:line="253" w:lineRule="exact"/>
              <w:rPr>
                <w:sz w:val="20"/>
                <w:szCs w:val="20"/>
                <w:color w:val="auto"/>
              </w:rPr>
            </w:pPr>
            <w:r>
              <w:rPr>
                <w:rFonts w:ascii="Arial" w:cs="Arial" w:eastAsia="Arial" w:hAnsi="Arial"/>
                <w:sz w:val="18"/>
                <w:szCs w:val="18"/>
                <w:color w:val="auto"/>
              </w:rPr>
              <w:t>Bob Myers</w:t>
            </w:r>
            <w:r>
              <w:rPr>
                <w:rFonts w:ascii="Arial" w:cs="Arial" w:eastAsia="Arial" w:hAnsi="Arial"/>
                <w:sz w:val="29"/>
                <w:szCs w:val="29"/>
                <w:color w:val="auto"/>
                <w:vertAlign w:val="superscript"/>
              </w:rPr>
              <w:t>(3)</w:t>
            </w:r>
          </w:p>
        </w:tc>
        <w:tc>
          <w:tcPr>
            <w:tcW w:w="1660" w:type="dxa"/>
            <w:vAlign w:val="bottom"/>
            <w:gridSpan w:val="2"/>
          </w:tcPr>
          <w:p>
            <w:pPr>
              <w:jc w:val="right"/>
              <w:ind w:right="11"/>
              <w:spacing w:after="0"/>
              <w:rPr>
                <w:sz w:val="20"/>
                <w:szCs w:val="20"/>
                <w:color w:val="auto"/>
              </w:rPr>
            </w:pPr>
            <w:r>
              <w:rPr>
                <w:rFonts w:ascii="Arial" w:cs="Arial" w:eastAsia="Arial" w:hAnsi="Arial"/>
                <w:sz w:val="18"/>
                <w:szCs w:val="18"/>
                <w:color w:val="auto"/>
              </w:rPr>
              <w:t>70,675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4"/>
        </w:trPr>
        <w:tc>
          <w:tcPr>
            <w:tcW w:w="7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Charles Nuzum</w:t>
            </w:r>
            <w:r>
              <w:rPr>
                <w:rFonts w:ascii="Arial" w:cs="Arial" w:eastAsia="Arial" w:hAnsi="Arial"/>
                <w:sz w:val="29"/>
                <w:szCs w:val="29"/>
                <w:color w:val="auto"/>
                <w:vertAlign w:val="superscript"/>
              </w:rPr>
              <w:t>(4)</w:t>
            </w:r>
          </w:p>
        </w:tc>
        <w:tc>
          <w:tcPr>
            <w:tcW w:w="16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74,136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4"/>
        </w:trPr>
        <w:tc>
          <w:tcPr>
            <w:tcW w:w="7860" w:type="dxa"/>
            <w:vAlign w:val="bottom"/>
          </w:tcPr>
          <w:p>
            <w:pPr>
              <w:spacing w:after="0" w:line="253" w:lineRule="exact"/>
              <w:rPr>
                <w:sz w:val="20"/>
                <w:szCs w:val="20"/>
                <w:color w:val="auto"/>
              </w:rPr>
            </w:pPr>
            <w:r>
              <w:rPr>
                <w:rFonts w:ascii="Arial" w:cs="Arial" w:eastAsia="Arial" w:hAnsi="Arial"/>
                <w:sz w:val="18"/>
                <w:szCs w:val="18"/>
                <w:color w:val="auto"/>
              </w:rPr>
              <w:t>Gregory St. Clair</w:t>
            </w:r>
            <w:r>
              <w:rPr>
                <w:rFonts w:ascii="Arial" w:cs="Arial" w:eastAsia="Arial" w:hAnsi="Arial"/>
                <w:sz w:val="29"/>
                <w:szCs w:val="29"/>
                <w:color w:val="auto"/>
                <w:vertAlign w:val="superscript"/>
              </w:rPr>
              <w:t>(5)</w:t>
            </w:r>
          </w:p>
        </w:tc>
        <w:tc>
          <w:tcPr>
            <w:tcW w:w="1660" w:type="dxa"/>
            <w:vAlign w:val="bottom"/>
            <w:gridSpan w:val="2"/>
          </w:tcPr>
          <w:p>
            <w:pPr>
              <w:jc w:val="right"/>
              <w:ind w:right="11"/>
              <w:spacing w:after="0"/>
              <w:rPr>
                <w:sz w:val="20"/>
                <w:szCs w:val="20"/>
                <w:color w:val="auto"/>
              </w:rPr>
            </w:pPr>
            <w:r>
              <w:rPr>
                <w:rFonts w:ascii="Arial" w:cs="Arial" w:eastAsia="Arial" w:hAnsi="Arial"/>
                <w:sz w:val="18"/>
                <w:szCs w:val="18"/>
                <w:color w:val="auto"/>
              </w:rPr>
              <w:t>58,468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54"/>
        </w:trPr>
        <w:tc>
          <w:tcPr>
            <w:tcW w:w="7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Dr. Daniel Handley</w:t>
            </w:r>
            <w:r>
              <w:rPr>
                <w:rFonts w:ascii="Arial" w:cs="Arial" w:eastAsia="Arial" w:hAnsi="Arial"/>
                <w:sz w:val="29"/>
                <w:szCs w:val="29"/>
                <w:color w:val="auto"/>
                <w:vertAlign w:val="superscript"/>
              </w:rPr>
              <w:t>(6)</w:t>
            </w:r>
          </w:p>
        </w:tc>
        <w:tc>
          <w:tcPr>
            <w:tcW w:w="16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56,311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4"/>
        </w:trPr>
        <w:tc>
          <w:tcPr>
            <w:tcW w:w="7860" w:type="dxa"/>
            <w:vAlign w:val="bottom"/>
          </w:tcPr>
          <w:p>
            <w:pPr>
              <w:spacing w:after="0" w:line="253" w:lineRule="exact"/>
              <w:rPr>
                <w:sz w:val="20"/>
                <w:szCs w:val="20"/>
                <w:color w:val="auto"/>
              </w:rPr>
            </w:pPr>
            <w:r>
              <w:rPr>
                <w:rFonts w:ascii="Arial" w:cs="Arial" w:eastAsia="Arial" w:hAnsi="Arial"/>
                <w:sz w:val="18"/>
                <w:szCs w:val="18"/>
                <w:color w:val="auto"/>
              </w:rPr>
              <w:t>Dr. Nancy Chung-Welch</w:t>
            </w:r>
            <w:r>
              <w:rPr>
                <w:rFonts w:ascii="Arial" w:cs="Arial" w:eastAsia="Arial" w:hAnsi="Arial"/>
                <w:sz w:val="29"/>
                <w:szCs w:val="29"/>
                <w:color w:val="auto"/>
                <w:vertAlign w:val="superscript"/>
              </w:rPr>
              <w:t>(7)</w:t>
            </w:r>
          </w:p>
        </w:tc>
        <w:tc>
          <w:tcPr>
            <w:tcW w:w="1660" w:type="dxa"/>
            <w:vAlign w:val="bottom"/>
            <w:gridSpan w:val="2"/>
          </w:tcPr>
          <w:p>
            <w:pPr>
              <w:jc w:val="right"/>
              <w:ind w:right="11"/>
              <w:spacing w:after="0"/>
              <w:rPr>
                <w:sz w:val="20"/>
                <w:szCs w:val="20"/>
                <w:color w:val="auto"/>
              </w:rPr>
            </w:pPr>
            <w:r>
              <w:rPr>
                <w:rFonts w:ascii="Arial" w:cs="Arial" w:eastAsia="Arial" w:hAnsi="Arial"/>
                <w:sz w:val="18"/>
                <w:szCs w:val="18"/>
                <w:color w:val="auto"/>
              </w:rPr>
              <w:t>64,370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Dr. Christina Jenkins</w:t>
            </w:r>
          </w:p>
        </w:tc>
        <w:tc>
          <w:tcPr>
            <w:tcW w:w="16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19,436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3"/>
        </w:trPr>
        <w:tc>
          <w:tcPr>
            <w:tcW w:w="7860" w:type="dxa"/>
            <w:vAlign w:val="bottom"/>
          </w:tcPr>
          <w:p>
            <w:pPr>
              <w:spacing w:after="0"/>
              <w:rPr>
                <w:sz w:val="20"/>
                <w:szCs w:val="20"/>
                <w:color w:val="auto"/>
              </w:rPr>
            </w:pPr>
            <w:r>
              <w:rPr>
                <w:rFonts w:ascii="Arial" w:cs="Arial" w:eastAsia="Arial" w:hAnsi="Arial"/>
                <w:sz w:val="18"/>
                <w:szCs w:val="18"/>
                <w:color w:val="auto"/>
              </w:rPr>
              <w:t>Raymond Vennare</w:t>
            </w:r>
          </w:p>
        </w:tc>
        <w:tc>
          <w:tcPr>
            <w:tcW w:w="1660" w:type="dxa"/>
            <w:vAlign w:val="bottom"/>
            <w:gridSpan w:val="2"/>
          </w:tcPr>
          <w:p>
            <w:pPr>
              <w:jc w:val="right"/>
              <w:ind w:right="11"/>
              <w:spacing w:after="0"/>
              <w:rPr>
                <w:sz w:val="20"/>
                <w:szCs w:val="20"/>
                <w:color w:val="auto"/>
              </w:rPr>
            </w:pPr>
            <w:r>
              <w:rPr>
                <w:rFonts w:ascii="Arial" w:cs="Arial" w:eastAsia="Arial" w:hAnsi="Arial"/>
                <w:sz w:val="18"/>
                <w:szCs w:val="18"/>
                <w:color w:val="auto"/>
              </w:rPr>
              <w:t>9,512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16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501,512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Security Holders</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4"/>
        </w:trPr>
        <w:tc>
          <w:tcPr>
            <w:tcW w:w="78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Dr. Carl Schwartz</w:t>
            </w:r>
            <w:r>
              <w:rPr>
                <w:rFonts w:ascii="Arial" w:cs="Arial" w:eastAsia="Arial" w:hAnsi="Arial"/>
                <w:sz w:val="29"/>
                <w:szCs w:val="29"/>
                <w:color w:val="auto"/>
                <w:vertAlign w:val="superscript"/>
              </w:rPr>
              <w:t>(8)</w:t>
            </w:r>
          </w:p>
        </w:tc>
        <w:tc>
          <w:tcPr>
            <w:tcW w:w="16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2,265,099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r>
    </w:tbl>
    <w:p>
      <w:pPr>
        <w:spacing w:after="0" w:line="199" w:lineRule="exact"/>
        <w:rPr>
          <w:sz w:val="20"/>
          <w:szCs w:val="20"/>
          <w:color w:val="auto"/>
        </w:rPr>
      </w:pPr>
    </w:p>
    <w:p>
      <w:pPr>
        <w:jc w:val="both"/>
        <w:ind w:left="680" w:hanging="553"/>
        <w:spacing w:after="0" w:line="280"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2" w:lineRule="exact"/>
        <w:rPr>
          <w:rFonts w:ascii="Arial" w:cs="Arial" w:eastAsia="Arial" w:hAnsi="Arial"/>
          <w:sz w:val="16"/>
          <w:szCs w:val="16"/>
          <w:color w:val="auto"/>
        </w:rPr>
      </w:pPr>
    </w:p>
    <w:p>
      <w:pPr>
        <w:ind w:left="680" w:hanging="553"/>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125,139 shares that are exercisable within 60 days of October 26, 2021.</w:t>
      </w:r>
    </w:p>
    <w:p>
      <w:pPr>
        <w:spacing w:after="0" w:line="6" w:lineRule="exact"/>
        <w:rPr>
          <w:rFonts w:ascii="Arial" w:cs="Arial" w:eastAsia="Arial" w:hAnsi="Arial"/>
          <w:sz w:val="18"/>
          <w:szCs w:val="18"/>
          <w:color w:val="auto"/>
        </w:rPr>
      </w:pPr>
    </w:p>
    <w:p>
      <w:pPr>
        <w:ind w:left="680" w:hanging="553"/>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47,478 shares that are exercisable within 60 days of October 26, 2021.</w:t>
      </w:r>
    </w:p>
    <w:p>
      <w:pPr>
        <w:spacing w:after="0" w:line="6" w:lineRule="exact"/>
        <w:rPr>
          <w:rFonts w:ascii="Arial" w:cs="Arial" w:eastAsia="Arial" w:hAnsi="Arial"/>
          <w:sz w:val="18"/>
          <w:szCs w:val="18"/>
          <w:color w:val="auto"/>
        </w:rPr>
      </w:pPr>
    </w:p>
    <w:p>
      <w:pPr>
        <w:ind w:left="680" w:hanging="553"/>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October 26, 2021.</w:t>
      </w:r>
    </w:p>
    <w:p>
      <w:pPr>
        <w:spacing w:after="0" w:line="6" w:lineRule="exact"/>
        <w:rPr>
          <w:rFonts w:ascii="Arial" w:cs="Arial" w:eastAsia="Arial" w:hAnsi="Arial"/>
          <w:sz w:val="18"/>
          <w:szCs w:val="18"/>
          <w:color w:val="auto"/>
        </w:rPr>
      </w:pPr>
    </w:p>
    <w:p>
      <w:pPr>
        <w:ind w:left="680" w:hanging="553"/>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26,623 shares that are exercisable within 60 days of October 26, 2021.</w:t>
      </w:r>
    </w:p>
    <w:p>
      <w:pPr>
        <w:spacing w:after="0" w:line="6" w:lineRule="exact"/>
        <w:rPr>
          <w:rFonts w:ascii="Arial" w:cs="Arial" w:eastAsia="Arial" w:hAnsi="Arial"/>
          <w:sz w:val="18"/>
          <w:szCs w:val="18"/>
          <w:color w:val="auto"/>
        </w:rPr>
      </w:pPr>
    </w:p>
    <w:p>
      <w:pPr>
        <w:ind w:left="680" w:hanging="553"/>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32,846 shares that are exercisable within 60 days of October 26, 2021.</w:t>
      </w:r>
    </w:p>
    <w:p>
      <w:pPr>
        <w:spacing w:after="0" w:line="6" w:lineRule="exact"/>
        <w:rPr>
          <w:rFonts w:ascii="Arial" w:cs="Arial" w:eastAsia="Arial" w:hAnsi="Arial"/>
          <w:sz w:val="18"/>
          <w:szCs w:val="18"/>
          <w:color w:val="auto"/>
        </w:rPr>
      </w:pPr>
    </w:p>
    <w:p>
      <w:pPr>
        <w:ind w:left="680" w:hanging="553"/>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October 26, 2021.</w:t>
      </w:r>
    </w:p>
    <w:p>
      <w:pPr>
        <w:spacing w:after="0" w:line="6" w:lineRule="exact"/>
        <w:rPr>
          <w:rFonts w:ascii="Arial" w:cs="Arial" w:eastAsia="Arial" w:hAnsi="Arial"/>
          <w:sz w:val="18"/>
          <w:szCs w:val="18"/>
          <w:color w:val="auto"/>
        </w:rPr>
      </w:pPr>
    </w:p>
    <w:p>
      <w:pPr>
        <w:ind w:left="680" w:hanging="553"/>
        <w:spacing w:after="0"/>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(i) 2,091,695 shares owned directly, and options to purchase 173,404 shares that are exercisable within 60 days of June 16, 2021.</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FORM 10-K</w:t>
      </w:r>
    </w:p>
    <w:p>
      <w:pPr>
        <w:spacing w:after="0" w:line="224"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A COPY OF THE COMPANY’S FORM 10-K ANNUAL REPORT, AS AMENDED, AND ANY AMENDMENTS THERETO, FOR THE FISCAL YEAR ENDED DECEMBER 31, 2020 (WITHOUT EXHIBITS), ACCOMPANIES THIS NOTICE OF MEETING AND PROXY STATEMENT. NO PART OF THE ANNUAL REPORT IS INCORPORATED HEREIN AND NO PART THEREOF IS TO BE CONSIDERED PROXY SOLICITING MATERIAL. THE COMPANY WILL FURNISH WITHOUT CHARGE TO EACH PERSON WHOSE PROXY IS BEING SOLICITED, UPON WRITTEN REQUEST OF ANY SUCH PERSON, ANY EXHIBIT DESCRIBED IN THE LIST ACCOMPANYING THE FORM 10-K, UPON THE PAYMENT, IN ADVANCE, OF REASONABLE FEES RELATED TO THE COMPANY’S FURNISHING SUCH EXHIBIT(S). REQUESTS FOR COPIES OF SUCH EXHIBIT(S) SHOULD BE DIRECTED TO THE COMPANY’S SECRETARY AT 2915 COMMERS DRIVE, SUITE 900, EAGAN, MINNESOTA, 55121.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4"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Board of Directors and management know of no other matters that will be presented for consideration at the Annual Meeting. However, since it is possible that matters of which the Board and management are not now aware may come before the meeting or any adjournment of the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w:t>
      </w:r>
    </w:p>
    <w:p>
      <w:pPr>
        <w:spacing w:after="0" w:line="17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Order of the Board of Directors</w:t>
      </w:r>
    </w:p>
    <w:p>
      <w:pPr>
        <w:spacing w:after="0" w:line="22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J. Melville Engle</w:t>
      </w:r>
    </w:p>
    <w:p>
      <w:pPr>
        <w:spacing w:after="0" w:line="22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 Melville Engle</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Eagan, Minnesota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9497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9497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319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5"/>
    </w:lvl>
  </w:abstractNum>
  <w:abstractNum w:abstractNumId="23">
    <w:nsid w:val="4353D0CD"/>
    <w:multiLevelType w:val="hybridMultilevel"/>
    <w:lvl w:ilvl="0">
      <w:lvlJc w:val="left"/>
      <w:lvlText w:val="(%1)"/>
      <w:numFmt w:val="decimal"/>
      <w:start w:val="1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2021-11-05T07:32:11Z</dcterms:created>
  <dcterms:modified xsi:type="dcterms:W3CDTF">2021-11-05T07:32:11Z</dcterms:modified>
</cp:coreProperties>
</file>