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b/>
          <w:sz w:val="20"/>
        </w:rPr>
      </w:pPr>
      <w:bookmarkStart w:id="0" w:name="s3_060426.htm"/>
      <w:bookmarkStart w:id="1" w:name="kss3_060426"/>
      <w:bookmarkEnd w:id="0"/>
      <w:bookmarkEnd w:id="1"/>
      <w:r>
        <w:rPr>
          <w:b/>
          <w:sz w:val="20"/>
        </w:rPr>
        <w:t>Registration No. 333-</w:t>
      </w:r>
    </w:p>
    <w:p>
      <w:pPr>
        <w:pStyle w:val="TextBody"/>
        <w:bidi w:val="0"/>
        <w:spacing w:before="0" w:after="0"/>
        <w:ind w:left="0" w:right="0" w:hanging="0"/>
        <w:jc w:val="right"/>
        <w:rPr/>
      </w:pPr>
      <w:r>
        <w:rPr/>
        <w:t> </w:t>
      </w:r>
    </w:p>
    <w:p>
      <w:pPr>
        <w:pStyle w:val="TextBody"/>
        <w:bidi w:val="0"/>
        <w:spacing w:before="0" w:after="0"/>
        <w:ind w:left="0" w:right="0" w:hanging="0"/>
        <w:jc w:val="center"/>
        <w:rPr>
          <w:b/>
          <w:sz w:val="20"/>
        </w:rPr>
      </w:pPr>
      <w:r>
        <w:rPr>
          <w:b/>
          <w:sz w:val="20"/>
        </w:rPr>
        <w:t>As filed with the Securities and Exchange Commission on June 9,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FORM S-3</w:t>
      </w:r>
    </w:p>
    <w:p>
      <w:pPr>
        <w:pStyle w:val="TextBody"/>
        <w:bidi w:val="0"/>
        <w:spacing w:before="0" w:after="0"/>
        <w:ind w:left="0" w:right="0" w:hanging="0"/>
        <w:jc w:val="center"/>
        <w:rPr>
          <w:b/>
          <w:sz w:val="20"/>
        </w:rPr>
      </w:pPr>
      <w:r>
        <w:rPr>
          <w:b/>
          <w:sz w:val="20"/>
        </w:rPr>
        <w:t>REGISTRATION STATEMENT UNDER THE SECURITIES ACT OF 1933</w:t>
      </w:r>
    </w:p>
    <w:p>
      <w:pPr>
        <w:pStyle w:val="TextBody"/>
        <w:bidi w:val="0"/>
        <w:spacing w:before="0" w:after="0"/>
        <w:ind w:left="0" w:right="0" w:hanging="0"/>
        <w:jc w:val="center"/>
        <w:rPr/>
      </w:pPr>
      <w:r>
        <w:rPr/>
        <w:t> </w:t>
      </w:r>
      <w:r>
        <w:rPr>
          <w:sz w:val="20"/>
        </w:rPr>
        <w:t>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4885" w:type="dxa"/>
        <w:jc w:val="left"/>
        <w:tblInd w:w="0" w:type="dxa"/>
        <w:tblLayout w:type="fixed"/>
        <w:tblCellMar>
          <w:top w:w="0" w:type="dxa"/>
          <w:left w:w="0" w:type="dxa"/>
          <w:bottom w:w="0" w:type="dxa"/>
          <w:right w:w="0" w:type="dxa"/>
        </w:tblCellMar>
      </w:tblPr>
      <w:tblGrid>
        <w:gridCol w:w="3110"/>
        <w:gridCol w:w="1775"/>
      </w:tblGrid>
      <w:tr>
        <w:trPr/>
        <w:tc>
          <w:tcPr>
            <w:tcW w:w="3110" w:type="dxa"/>
            <w:tcBorders/>
            <w:vAlign w:val="center"/>
          </w:tcPr>
          <w:p>
            <w:pPr>
              <w:pStyle w:val="TableContents"/>
              <w:bidi w:val="0"/>
              <w:spacing w:before="0" w:after="283"/>
              <w:jc w:val="center"/>
              <w:rPr>
                <w:b/>
              </w:rPr>
            </w:pPr>
            <w:r>
              <w:rPr>
                <w:b/>
              </w:rPr>
              <w:t>Delaware</w:t>
            </w:r>
          </w:p>
        </w:tc>
        <w:tc>
          <w:tcPr>
            <w:tcW w:w="1775" w:type="dxa"/>
            <w:tcBorders/>
            <w:vAlign w:val="center"/>
          </w:tcPr>
          <w:p>
            <w:pPr>
              <w:pStyle w:val="TableContents"/>
              <w:bidi w:val="0"/>
              <w:spacing w:before="0" w:after="283"/>
              <w:jc w:val="center"/>
              <w:rPr>
                <w:b/>
              </w:rPr>
            </w:pPr>
            <w:r>
              <w:rPr>
                <w:b/>
              </w:rPr>
              <w:t>33-1007393</w:t>
            </w:r>
          </w:p>
        </w:tc>
      </w:tr>
      <w:tr>
        <w:trPr/>
        <w:tc>
          <w:tcPr>
            <w:tcW w:w="3110" w:type="dxa"/>
            <w:tcBorders/>
            <w:vAlign w:val="center"/>
          </w:tcPr>
          <w:p>
            <w:pPr>
              <w:pStyle w:val="TableContents"/>
              <w:bidi w:val="0"/>
              <w:spacing w:before="0" w:after="283"/>
              <w:jc w:val="center"/>
              <w:rPr/>
            </w:pPr>
            <w:r>
              <w:rPr/>
              <w:t>(State or jurisdiction</w:t>
            </w:r>
          </w:p>
        </w:tc>
        <w:tc>
          <w:tcPr>
            <w:tcW w:w="1775" w:type="dxa"/>
            <w:tcBorders/>
            <w:vAlign w:val="center"/>
          </w:tcPr>
          <w:p>
            <w:pPr>
              <w:pStyle w:val="TableContents"/>
              <w:bidi w:val="0"/>
              <w:spacing w:before="0" w:after="283"/>
              <w:jc w:val="center"/>
              <w:rPr/>
            </w:pPr>
            <w:r>
              <w:rPr/>
              <w:t>(I.R.S. Employer</w:t>
            </w:r>
          </w:p>
        </w:tc>
      </w:tr>
      <w:tr>
        <w:trPr/>
        <w:tc>
          <w:tcPr>
            <w:tcW w:w="3110" w:type="dxa"/>
            <w:tcBorders/>
            <w:vAlign w:val="center"/>
          </w:tcPr>
          <w:p>
            <w:pPr>
              <w:pStyle w:val="TableContents"/>
              <w:bidi w:val="0"/>
              <w:spacing w:before="0" w:after="283"/>
              <w:jc w:val="center"/>
              <w:rPr/>
            </w:pPr>
            <w:r>
              <w:rPr/>
              <w:t>of incorporation or organization)</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91 43</w:t>
      </w:r>
      <w:r>
        <w:rPr>
          <w:b/>
          <w:position w:val="7"/>
          <w:sz w:val="16"/>
          <w:sz w:val="20"/>
        </w:rPr>
        <w:t>rd</w:t>
      </w:r>
      <w:r>
        <w:rPr>
          <w:b/>
          <w:sz w:val="20"/>
        </w:rPr>
        <w:t xml:space="preserve"> Street, Suite 110</w:t>
        <w:br/>
        <w:t>Pittsburgh, Pennsylvania 15201</w:t>
        <w:br/>
        <w:t>(412) 432-1500</w:t>
        <w:br/>
      </w:r>
      <w:r>
        <w:rPr>
          <w:sz w:val="20"/>
        </w:rPr>
        <w:t>(Address, including zip code, and telephone number, including area code, of registrant’s principal executive offices)</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Chris Miglino</w:t>
      </w:r>
    </w:p>
    <w:p>
      <w:pPr>
        <w:pStyle w:val="TextBody"/>
        <w:bidi w:val="0"/>
        <w:spacing w:before="0" w:after="0"/>
        <w:ind w:left="0" w:right="0" w:hanging="0"/>
        <w:jc w:val="center"/>
        <w:rPr>
          <w:b/>
          <w:sz w:val="20"/>
        </w:rPr>
      </w:pPr>
      <w:r>
        <w:rPr>
          <w:b/>
          <w:sz w:val="20"/>
        </w:rPr>
        <w:t>Chief Executive Officer</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b/>
          <w:sz w:val="20"/>
        </w:rPr>
      </w:pPr>
      <w:r>
        <w:rPr>
          <w:b/>
          <w:sz w:val="20"/>
        </w:rPr>
        <w:t>91 43</w:t>
      </w:r>
      <w:r>
        <w:rPr>
          <w:b/>
          <w:position w:val="7"/>
          <w:sz w:val="16"/>
          <w:sz w:val="20"/>
        </w:rPr>
        <w:t>rd</w:t>
      </w:r>
      <w:r>
        <w:rPr>
          <w:b/>
          <w:sz w:val="20"/>
        </w:rPr>
        <w:t xml:space="preserve"> Street, Suite 110</w:t>
      </w:r>
    </w:p>
    <w:p>
      <w:pPr>
        <w:pStyle w:val="TextBody"/>
        <w:bidi w:val="0"/>
        <w:spacing w:before="0" w:after="0"/>
        <w:ind w:left="0" w:right="0" w:hanging="0"/>
        <w:jc w:val="center"/>
        <w:rPr>
          <w:b/>
          <w:sz w:val="20"/>
        </w:rPr>
      </w:pPr>
      <w:r>
        <w:rPr>
          <w:b/>
          <w:sz w:val="20"/>
        </w:rPr>
        <w:t>Pittsburgh, Pennsylvania 15201</w:t>
      </w:r>
    </w:p>
    <w:p>
      <w:pPr>
        <w:pStyle w:val="TextBody"/>
        <w:bidi w:val="0"/>
        <w:spacing w:before="0" w:after="0"/>
        <w:ind w:left="0" w:right="0" w:hanging="0"/>
        <w:jc w:val="center"/>
        <w:rPr>
          <w:b/>
          <w:sz w:val="20"/>
        </w:rPr>
      </w:pPr>
      <w:r>
        <w:rPr>
          <w:b/>
          <w:sz w:val="20"/>
        </w:rPr>
        <w:t>(412) 432-1500</w:t>
      </w:r>
    </w:p>
    <w:p>
      <w:pPr>
        <w:pStyle w:val="TextBody"/>
        <w:bidi w:val="0"/>
        <w:spacing w:before="0" w:after="0"/>
        <w:ind w:left="0" w:right="0" w:hanging="0"/>
        <w:jc w:val="center"/>
        <w:rPr>
          <w:sz w:val="20"/>
        </w:rPr>
      </w:pPr>
      <w:r>
        <w:rPr>
          <w:sz w:val="20"/>
        </w:rPr>
        <w:t>(Name, address and telephone number of agent for service)</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Copy to:</w:t>
      </w:r>
    </w:p>
    <w:p>
      <w:pPr>
        <w:pStyle w:val="TextBody"/>
        <w:bidi w:val="0"/>
        <w:spacing w:before="0" w:after="0"/>
        <w:ind w:left="0" w:right="0" w:hanging="0"/>
        <w:jc w:val="center"/>
        <w:rPr>
          <w:b/>
          <w:sz w:val="20"/>
        </w:rPr>
      </w:pPr>
      <w:r>
        <w:rPr>
          <w:b/>
          <w:sz w:val="20"/>
        </w:rPr>
        <w:t>Joseph M. Lucosky, Esq.</w:t>
      </w:r>
    </w:p>
    <w:p>
      <w:pPr>
        <w:pStyle w:val="TextBody"/>
        <w:bidi w:val="0"/>
        <w:spacing w:before="0" w:after="0"/>
        <w:ind w:left="0" w:right="0" w:hanging="0"/>
        <w:jc w:val="center"/>
        <w:rPr>
          <w:b/>
          <w:sz w:val="20"/>
        </w:rPr>
      </w:pPr>
      <w:r>
        <w:rPr>
          <w:b/>
          <w:sz w:val="20"/>
        </w:rPr>
        <w:t>Edward Welch, Esq.</w:t>
      </w:r>
    </w:p>
    <w:p>
      <w:pPr>
        <w:pStyle w:val="TextBody"/>
        <w:bidi w:val="0"/>
        <w:spacing w:before="0" w:after="0"/>
        <w:ind w:left="0" w:right="0" w:hanging="0"/>
        <w:jc w:val="center"/>
        <w:rPr>
          <w:b/>
          <w:sz w:val="20"/>
        </w:rPr>
      </w:pPr>
      <w:r>
        <w:rPr>
          <w:b/>
          <w:sz w:val="20"/>
        </w:rPr>
        <w:t>Lucosky Brookman LLP</w:t>
      </w:r>
    </w:p>
    <w:p>
      <w:pPr>
        <w:pStyle w:val="TextBody"/>
        <w:bidi w:val="0"/>
        <w:spacing w:before="0" w:after="0"/>
        <w:ind w:left="0" w:right="0" w:hanging="0"/>
        <w:jc w:val="center"/>
        <w:rPr>
          <w:b/>
          <w:sz w:val="20"/>
        </w:rPr>
      </w:pPr>
      <w:r>
        <w:rPr>
          <w:b/>
          <w:sz w:val="20"/>
        </w:rPr>
        <w:t>101 Wood Avenue South, 5</w:t>
      </w:r>
      <w:r>
        <w:rPr>
          <w:b/>
          <w:position w:val="7"/>
          <w:sz w:val="16"/>
          <w:sz w:val="20"/>
        </w:rPr>
        <w:t>th</w:t>
      </w:r>
      <w:r>
        <w:rPr>
          <w:b/>
          <w:sz w:val="20"/>
        </w:rPr>
        <w:t xml:space="preserve"> Floor</w:t>
      </w:r>
    </w:p>
    <w:p>
      <w:pPr>
        <w:pStyle w:val="TextBody"/>
        <w:bidi w:val="0"/>
        <w:spacing w:before="0" w:after="0"/>
        <w:ind w:left="0" w:right="0" w:hanging="0"/>
        <w:jc w:val="center"/>
        <w:rPr>
          <w:b/>
          <w:sz w:val="20"/>
        </w:rPr>
      </w:pPr>
      <w:r>
        <w:rPr>
          <w:b/>
          <w:sz w:val="20"/>
        </w:rPr>
        <w:t>Woodbridge, NJ 08830</w:t>
      </w:r>
    </w:p>
    <w:p>
      <w:pPr>
        <w:pStyle w:val="TextBody"/>
        <w:bidi w:val="0"/>
        <w:spacing w:before="0" w:after="0"/>
        <w:ind w:left="0" w:right="0" w:hanging="0"/>
        <w:jc w:val="center"/>
        <w:rPr>
          <w:b/>
          <w:sz w:val="20"/>
        </w:rPr>
      </w:pPr>
      <w:r>
        <w:rPr>
          <w:b/>
          <w:sz w:val="20"/>
        </w:rPr>
        <w:t>(732) 395-4402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Approximate date of commencement of proposed sale to the public: From time to time on or after the effective date of this Registration Statement, as determined by market conditions and other factors.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2900"/>
        <w:gridCol w:w="2870"/>
      </w:tblGrid>
      <w:tr>
        <w:trPr/>
        <w:tc>
          <w:tcPr>
            <w:tcW w:w="2900" w:type="dxa"/>
            <w:tcBorders/>
            <w:vAlign w:val="center"/>
          </w:tcPr>
          <w:p>
            <w:pPr>
              <w:pStyle w:val="TableContents"/>
              <w:bidi w:val="0"/>
              <w:spacing w:before="0" w:after="283"/>
              <w:jc w:val="both"/>
              <w:rPr/>
            </w:pPr>
            <w:r>
              <w:rPr/>
              <w:t>Large accelerated filer ☐</w:t>
            </w:r>
          </w:p>
        </w:tc>
        <w:tc>
          <w:tcPr>
            <w:tcW w:w="2870" w:type="dxa"/>
            <w:tcBorders/>
            <w:vAlign w:val="center"/>
          </w:tcPr>
          <w:p>
            <w:pPr>
              <w:pStyle w:val="TableContents"/>
              <w:bidi w:val="0"/>
              <w:spacing w:before="0" w:after="283"/>
              <w:jc w:val="both"/>
              <w:rPr/>
            </w:pPr>
            <w:r>
              <w:rPr/>
              <w:t>Accelerated filer ☐</w:t>
            </w:r>
          </w:p>
        </w:tc>
      </w:tr>
      <w:tr>
        <w:trPr/>
        <w:tc>
          <w:tcPr>
            <w:tcW w:w="2900" w:type="dxa"/>
            <w:tcBorders/>
            <w:vAlign w:val="center"/>
          </w:tcPr>
          <w:p>
            <w:pPr>
              <w:pStyle w:val="TableContents"/>
              <w:bidi w:val="0"/>
              <w:spacing w:before="0" w:after="283"/>
              <w:jc w:val="both"/>
              <w:rPr/>
            </w:pPr>
            <w:r>
              <w:rPr/>
              <w:t>Non-accelerated filer ☒</w:t>
            </w:r>
          </w:p>
        </w:tc>
        <w:tc>
          <w:tcPr>
            <w:tcW w:w="2870" w:type="dxa"/>
            <w:tcBorders/>
            <w:vAlign w:val="center"/>
          </w:tcPr>
          <w:p>
            <w:pPr>
              <w:pStyle w:val="TableContents"/>
              <w:bidi w:val="0"/>
              <w:spacing w:before="0" w:after="283"/>
              <w:jc w:val="both"/>
              <w:rPr/>
            </w:pPr>
            <w:r>
              <w:rPr/>
              <w:t>Smaller reporting company ☒</w:t>
            </w:r>
          </w:p>
        </w:tc>
      </w:tr>
      <w:tr>
        <w:trPr/>
        <w:tc>
          <w:tcPr>
            <w:tcW w:w="2900" w:type="dxa"/>
            <w:tcBorders/>
            <w:vAlign w:val="center"/>
          </w:tcPr>
          <w:p>
            <w:pPr>
              <w:pStyle w:val="TableContents"/>
              <w:bidi w:val="0"/>
              <w:spacing w:before="0" w:after="283"/>
              <w:jc w:val="left"/>
              <w:rPr/>
            </w:pPr>
            <w:r>
              <w:rPr/>
              <w:t>Emerging growth company ☐</w:t>
            </w:r>
          </w:p>
        </w:tc>
        <w:tc>
          <w:tcPr>
            <w:tcW w:w="28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olor w:val="FF0000"/>
          <w:sz w:val="20"/>
        </w:rPr>
      </w:pPr>
      <w:r>
        <w:rPr>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center"/>
        <w:rPr>
          <w:b/>
          <w:color w:val="FF0000"/>
          <w:sz w:val="20"/>
        </w:rPr>
      </w:pPr>
      <w:r>
        <w:rPr>
          <w:b/>
          <w:color w:val="FF0000"/>
          <w:sz w:val="20"/>
        </w:rPr>
        <w:t>PRELIMINARY PROSPECTUS, SUBJECT TO COMPLETION - DATED June 9, 2026</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By this prospectus and an accompanying prospectus supplement, we may from time to time offer and sell, in one or more offerings, up to $1,000,000,000 in any combination of debt securities, common stock, preferred stock, warrants, units, or subscription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you with more specific terms of the securities offered by us in one or more supplements to this prospectus. You should read this prospectus and the applicable prospectus supplement carefully before you invest.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offer these securities from time to time in amounts, at prices and on other terms to be determined at the time of offering. We may offer and sell these securities to or through underwriters, dealers or agents, or directly to investors, on a continuous or delayed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supplements to this prospectus will provide the specific terms of the plan of distribution. The price to the public of the securities we offer and the net proceeds we expect to receive from such sale will also be set forth in a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common stock is listed on the Nasdaq Capital Market under the symbol “AGPU”. On June 8, 2026, the closing price of our common stock as reported by the Nasdaq Capital Market was $7.32 per share.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aggregate market value of shares of our common stock held by non-affiliates, as of the date hereof is $79,195,768, which was calculated based on 10,819,094 shares of our common stock outstanding held by non-affiliates and at a price of $7.32 per share, the closing price of our common stock on June 8, 2026.</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An investment in our securities may be considered speculative and involves a high degree of risk, including the risk of a substantial loss of your investment. See “Risk Factors” on page 8 for more information on the risks you should consider before buying our securities. An investment in our securities is not suitable for all investors.</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The date of this prospectus is June 9,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Table of Contents</w:t>
      </w:r>
    </w:p>
    <w:p>
      <w:pPr>
        <w:pStyle w:val="TextBody"/>
        <w:bidi w:val="0"/>
        <w:spacing w:before="0" w:after="0"/>
        <w:ind w:left="0" w:right="0" w:hanging="0"/>
        <w:jc w:val="center"/>
        <w:rPr/>
      </w:pPr>
      <w:r>
        <w:rPr/>
        <w:t> </w:t>
      </w:r>
    </w:p>
    <w:tbl>
      <w:tblPr>
        <w:tblW w:w="8560" w:type="dxa"/>
        <w:jc w:val="left"/>
        <w:tblInd w:w="0" w:type="dxa"/>
        <w:tblLayout w:type="fixed"/>
        <w:tblCellMar>
          <w:top w:w="0" w:type="dxa"/>
          <w:left w:w="0" w:type="dxa"/>
          <w:bottom w:w="0" w:type="dxa"/>
          <w:right w:w="0" w:type="dxa"/>
        </w:tblCellMar>
      </w:tblPr>
      <w:tblGrid>
        <w:gridCol w:w="8030"/>
        <w:gridCol w:w="530"/>
      </w:tblGrid>
      <w:tr>
        <w:trPr/>
        <w:tc>
          <w:tcPr>
            <w:tcW w:w="803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center"/>
              <w:rPr>
                <w:b/>
                <w:u w:val="single"/>
              </w:rPr>
            </w:pPr>
            <w:r>
              <w:rPr>
                <w:b/>
                <w:u w:val="single"/>
              </w:rPr>
              <w:t>Page</w:t>
            </w:r>
          </w:p>
        </w:tc>
      </w:tr>
      <w:tr>
        <w:trPr/>
        <w:tc>
          <w:tcPr>
            <w:tcW w:w="8030" w:type="dxa"/>
            <w:tcBorders/>
            <w:vAlign w:val="center"/>
          </w:tcPr>
          <w:p>
            <w:pPr>
              <w:pStyle w:val="TableContents"/>
              <w:bidi w:val="0"/>
              <w:spacing w:before="0" w:after="283"/>
              <w:jc w:val="both"/>
              <w:rPr/>
            </w:pPr>
            <w:hyperlink w:anchor="a_001">
              <w:r>
                <w:rPr>
                  <w:rStyle w:val="InternetLink"/>
                  <w:caps/>
                </w:rPr>
                <w:t>About this Prospectus</w:t>
              </w:r>
            </w:hyperlink>
          </w:p>
        </w:tc>
        <w:tc>
          <w:tcPr>
            <w:tcW w:w="530" w:type="dxa"/>
            <w:tcBorders/>
            <w:vAlign w:val="center"/>
          </w:tcPr>
          <w:p>
            <w:pPr>
              <w:pStyle w:val="TableContents"/>
              <w:bidi w:val="0"/>
              <w:spacing w:before="0" w:after="283"/>
              <w:jc w:val="center"/>
              <w:rPr/>
            </w:pPr>
            <w:hyperlink w:anchor="a_001">
              <w:r>
                <w:rPr>
                  <w:rStyle w:val="InternetLink"/>
                </w:rPr>
                <w:t>3</w:t>
              </w:r>
            </w:hyperlink>
          </w:p>
        </w:tc>
      </w:tr>
      <w:tr>
        <w:trPr/>
        <w:tc>
          <w:tcPr>
            <w:tcW w:w="8030" w:type="dxa"/>
            <w:tcBorders/>
            <w:vAlign w:val="center"/>
          </w:tcPr>
          <w:p>
            <w:pPr>
              <w:pStyle w:val="TableContents"/>
              <w:bidi w:val="0"/>
              <w:spacing w:before="0" w:after="283"/>
              <w:jc w:val="both"/>
              <w:rPr/>
            </w:pPr>
            <w:hyperlink w:anchor="a_002">
              <w:r>
                <w:rPr>
                  <w:rStyle w:val="InternetLink"/>
                  <w:caps/>
                </w:rPr>
                <w:t>Cautionary Note Regarding Forward Looking Statements</w:t>
              </w:r>
            </w:hyperlink>
          </w:p>
        </w:tc>
        <w:tc>
          <w:tcPr>
            <w:tcW w:w="530" w:type="dxa"/>
            <w:tcBorders/>
            <w:vAlign w:val="center"/>
          </w:tcPr>
          <w:p>
            <w:pPr>
              <w:pStyle w:val="TableContents"/>
              <w:bidi w:val="0"/>
              <w:spacing w:before="0" w:after="283"/>
              <w:jc w:val="center"/>
              <w:rPr/>
            </w:pPr>
            <w:hyperlink w:anchor="a_002">
              <w:r>
                <w:rPr>
                  <w:rStyle w:val="InternetLink"/>
                </w:rPr>
                <w:t>3</w:t>
              </w:r>
            </w:hyperlink>
          </w:p>
        </w:tc>
      </w:tr>
      <w:tr>
        <w:trPr/>
        <w:tc>
          <w:tcPr>
            <w:tcW w:w="8030" w:type="dxa"/>
            <w:tcBorders/>
            <w:vAlign w:val="center"/>
          </w:tcPr>
          <w:p>
            <w:pPr>
              <w:pStyle w:val="TableContents"/>
              <w:bidi w:val="0"/>
              <w:spacing w:before="0" w:after="283"/>
              <w:jc w:val="both"/>
              <w:rPr/>
            </w:pPr>
            <w:hyperlink w:anchor="a_003">
              <w:r>
                <w:rPr>
                  <w:rStyle w:val="InternetLink"/>
                  <w:caps/>
                </w:rPr>
                <w:t>The Company</w:t>
              </w:r>
            </w:hyperlink>
          </w:p>
        </w:tc>
        <w:tc>
          <w:tcPr>
            <w:tcW w:w="530" w:type="dxa"/>
            <w:tcBorders/>
            <w:vAlign w:val="center"/>
          </w:tcPr>
          <w:p>
            <w:pPr>
              <w:pStyle w:val="TableContents"/>
              <w:bidi w:val="0"/>
              <w:spacing w:before="0" w:after="283"/>
              <w:jc w:val="center"/>
              <w:rPr/>
            </w:pPr>
            <w:hyperlink w:anchor="a_003">
              <w:r>
                <w:rPr>
                  <w:rStyle w:val="InternetLink"/>
                </w:rPr>
                <w:t>4</w:t>
              </w:r>
            </w:hyperlink>
          </w:p>
        </w:tc>
      </w:tr>
      <w:tr>
        <w:trPr/>
        <w:tc>
          <w:tcPr>
            <w:tcW w:w="8030" w:type="dxa"/>
            <w:tcBorders/>
            <w:vAlign w:val="center"/>
          </w:tcPr>
          <w:p>
            <w:pPr>
              <w:pStyle w:val="TableContents"/>
              <w:bidi w:val="0"/>
              <w:spacing w:before="0" w:after="283"/>
              <w:jc w:val="left"/>
              <w:rPr/>
            </w:pPr>
            <w:hyperlink w:anchor="a_004">
              <w:r>
                <w:rPr>
                  <w:rStyle w:val="InternetLink"/>
                  <w:caps/>
                </w:rPr>
                <w:t>Risk Factors</w:t>
              </w:r>
            </w:hyperlink>
          </w:p>
        </w:tc>
        <w:tc>
          <w:tcPr>
            <w:tcW w:w="530" w:type="dxa"/>
            <w:tcBorders/>
            <w:vAlign w:val="center"/>
          </w:tcPr>
          <w:p>
            <w:pPr>
              <w:pStyle w:val="TableContents"/>
              <w:bidi w:val="0"/>
              <w:spacing w:before="0" w:after="283"/>
              <w:jc w:val="center"/>
              <w:rPr/>
            </w:pPr>
            <w:hyperlink w:anchor="a_004">
              <w:r>
                <w:rPr>
                  <w:rStyle w:val="InternetLink"/>
                </w:rPr>
                <w:t>8</w:t>
              </w:r>
            </w:hyperlink>
          </w:p>
        </w:tc>
      </w:tr>
      <w:tr>
        <w:trPr/>
        <w:tc>
          <w:tcPr>
            <w:tcW w:w="8030" w:type="dxa"/>
            <w:tcBorders/>
            <w:vAlign w:val="center"/>
          </w:tcPr>
          <w:p>
            <w:pPr>
              <w:pStyle w:val="TableContents"/>
              <w:bidi w:val="0"/>
              <w:spacing w:before="0" w:after="283"/>
              <w:jc w:val="left"/>
              <w:rPr/>
            </w:pPr>
            <w:hyperlink w:anchor="a_005">
              <w:r>
                <w:rPr>
                  <w:rStyle w:val="InternetLink"/>
                  <w:caps/>
                </w:rPr>
                <w:t>Use of Proceeds</w:t>
              </w:r>
            </w:hyperlink>
          </w:p>
        </w:tc>
        <w:tc>
          <w:tcPr>
            <w:tcW w:w="530" w:type="dxa"/>
            <w:tcBorders/>
            <w:vAlign w:val="center"/>
          </w:tcPr>
          <w:p>
            <w:pPr>
              <w:pStyle w:val="TableContents"/>
              <w:bidi w:val="0"/>
              <w:spacing w:before="0" w:after="283"/>
              <w:jc w:val="center"/>
              <w:rPr/>
            </w:pPr>
            <w:hyperlink w:anchor="a_005">
              <w:r>
                <w:rPr>
                  <w:rStyle w:val="InternetLink"/>
                </w:rPr>
                <w:t>9</w:t>
              </w:r>
            </w:hyperlink>
          </w:p>
        </w:tc>
      </w:tr>
      <w:tr>
        <w:trPr/>
        <w:tc>
          <w:tcPr>
            <w:tcW w:w="8030" w:type="dxa"/>
            <w:tcBorders/>
            <w:vAlign w:val="center"/>
          </w:tcPr>
          <w:p>
            <w:pPr>
              <w:pStyle w:val="TableContents"/>
              <w:bidi w:val="0"/>
              <w:spacing w:before="0" w:after="283"/>
              <w:jc w:val="both"/>
              <w:rPr/>
            </w:pPr>
            <w:hyperlink w:anchor="a_006">
              <w:r>
                <w:rPr>
                  <w:rStyle w:val="InternetLink"/>
                  <w:caps/>
                </w:rPr>
                <w:t>Description of Capital Stock</w:t>
              </w:r>
            </w:hyperlink>
          </w:p>
        </w:tc>
        <w:tc>
          <w:tcPr>
            <w:tcW w:w="530" w:type="dxa"/>
            <w:tcBorders/>
            <w:vAlign w:val="center"/>
          </w:tcPr>
          <w:p>
            <w:pPr>
              <w:pStyle w:val="TableContents"/>
              <w:bidi w:val="0"/>
              <w:spacing w:before="0" w:after="283"/>
              <w:jc w:val="center"/>
              <w:rPr/>
            </w:pPr>
            <w:hyperlink w:anchor="a_006">
              <w:r>
                <w:rPr>
                  <w:rStyle w:val="InternetLink"/>
                </w:rPr>
                <w:t>10</w:t>
              </w:r>
            </w:hyperlink>
          </w:p>
        </w:tc>
      </w:tr>
      <w:tr>
        <w:trPr/>
        <w:tc>
          <w:tcPr>
            <w:tcW w:w="8030" w:type="dxa"/>
            <w:tcBorders/>
            <w:vAlign w:val="center"/>
          </w:tcPr>
          <w:p>
            <w:pPr>
              <w:pStyle w:val="TableContents"/>
              <w:bidi w:val="0"/>
              <w:spacing w:before="0" w:after="283"/>
              <w:jc w:val="both"/>
              <w:rPr/>
            </w:pPr>
            <w:hyperlink w:anchor="a_007">
              <w:r>
                <w:rPr>
                  <w:rStyle w:val="InternetLink"/>
                </w:rPr>
                <w:t>DESCRIPTION OF WARRANTS</w:t>
              </w:r>
            </w:hyperlink>
          </w:p>
        </w:tc>
        <w:tc>
          <w:tcPr>
            <w:tcW w:w="530" w:type="dxa"/>
            <w:tcBorders/>
            <w:vAlign w:val="center"/>
          </w:tcPr>
          <w:p>
            <w:pPr>
              <w:pStyle w:val="TableContents"/>
              <w:bidi w:val="0"/>
              <w:spacing w:before="0" w:after="283"/>
              <w:jc w:val="center"/>
              <w:rPr/>
            </w:pPr>
            <w:hyperlink w:anchor="a_007">
              <w:r>
                <w:rPr>
                  <w:rStyle w:val="InternetLink"/>
                </w:rPr>
                <w:t>15</w:t>
              </w:r>
            </w:hyperlink>
          </w:p>
        </w:tc>
      </w:tr>
      <w:tr>
        <w:trPr/>
        <w:tc>
          <w:tcPr>
            <w:tcW w:w="8030" w:type="dxa"/>
            <w:tcBorders/>
            <w:vAlign w:val="center"/>
          </w:tcPr>
          <w:p>
            <w:pPr>
              <w:pStyle w:val="TableContents"/>
              <w:bidi w:val="0"/>
              <w:spacing w:before="0" w:after="283"/>
              <w:jc w:val="both"/>
              <w:rPr/>
            </w:pPr>
            <w:hyperlink w:anchor="a_008">
              <w:r>
                <w:rPr>
                  <w:rStyle w:val="InternetLink"/>
                </w:rPr>
                <w:t>DESCRIPTION OF DEBT SECURITIES</w:t>
              </w:r>
            </w:hyperlink>
          </w:p>
        </w:tc>
        <w:tc>
          <w:tcPr>
            <w:tcW w:w="530" w:type="dxa"/>
            <w:tcBorders/>
            <w:vAlign w:val="center"/>
          </w:tcPr>
          <w:p>
            <w:pPr>
              <w:pStyle w:val="TableContents"/>
              <w:bidi w:val="0"/>
              <w:spacing w:before="0" w:after="283"/>
              <w:jc w:val="center"/>
              <w:rPr/>
            </w:pPr>
            <w:hyperlink w:anchor="a_008">
              <w:r>
                <w:rPr>
                  <w:rStyle w:val="InternetLink"/>
                </w:rPr>
                <w:t>16</w:t>
              </w:r>
            </w:hyperlink>
          </w:p>
        </w:tc>
      </w:tr>
      <w:tr>
        <w:trPr/>
        <w:tc>
          <w:tcPr>
            <w:tcW w:w="8030" w:type="dxa"/>
            <w:tcBorders/>
            <w:vAlign w:val="center"/>
          </w:tcPr>
          <w:p>
            <w:pPr>
              <w:pStyle w:val="TableContents"/>
              <w:bidi w:val="0"/>
              <w:spacing w:before="0" w:after="283"/>
              <w:jc w:val="both"/>
              <w:rPr/>
            </w:pPr>
            <w:hyperlink w:anchor="a_009">
              <w:r>
                <w:rPr>
                  <w:rStyle w:val="InternetLink"/>
                </w:rPr>
                <w:t>DESCRIPTION OF UNITS</w:t>
              </w:r>
            </w:hyperlink>
          </w:p>
        </w:tc>
        <w:tc>
          <w:tcPr>
            <w:tcW w:w="530" w:type="dxa"/>
            <w:tcBorders/>
            <w:vAlign w:val="center"/>
          </w:tcPr>
          <w:p>
            <w:pPr>
              <w:pStyle w:val="TableContents"/>
              <w:bidi w:val="0"/>
              <w:spacing w:before="0" w:after="283"/>
              <w:jc w:val="center"/>
              <w:rPr/>
            </w:pPr>
            <w:hyperlink w:anchor="a_009">
              <w:r>
                <w:rPr>
                  <w:rStyle w:val="InternetLink"/>
                </w:rPr>
                <w:t>25</w:t>
              </w:r>
            </w:hyperlink>
          </w:p>
        </w:tc>
      </w:tr>
      <w:tr>
        <w:trPr/>
        <w:tc>
          <w:tcPr>
            <w:tcW w:w="8030" w:type="dxa"/>
            <w:tcBorders/>
            <w:vAlign w:val="center"/>
          </w:tcPr>
          <w:p>
            <w:pPr>
              <w:pStyle w:val="TableContents"/>
              <w:bidi w:val="0"/>
              <w:spacing w:before="0" w:after="283"/>
              <w:jc w:val="both"/>
              <w:rPr/>
            </w:pPr>
            <w:hyperlink w:anchor="a_010">
              <w:r>
                <w:rPr>
                  <w:rStyle w:val="InternetLink"/>
                  <w:caps/>
                </w:rPr>
                <w:t>Plan of Distribution</w:t>
              </w:r>
            </w:hyperlink>
          </w:p>
        </w:tc>
        <w:tc>
          <w:tcPr>
            <w:tcW w:w="530" w:type="dxa"/>
            <w:tcBorders/>
            <w:vAlign w:val="center"/>
          </w:tcPr>
          <w:p>
            <w:pPr>
              <w:pStyle w:val="TableContents"/>
              <w:bidi w:val="0"/>
              <w:spacing w:before="0" w:after="283"/>
              <w:jc w:val="center"/>
              <w:rPr/>
            </w:pPr>
            <w:hyperlink w:anchor="a_010">
              <w:r>
                <w:rPr>
                  <w:rStyle w:val="InternetLink"/>
                </w:rPr>
                <w:t>26</w:t>
              </w:r>
            </w:hyperlink>
          </w:p>
        </w:tc>
      </w:tr>
      <w:tr>
        <w:trPr/>
        <w:tc>
          <w:tcPr>
            <w:tcW w:w="8030" w:type="dxa"/>
            <w:tcBorders/>
            <w:vAlign w:val="center"/>
          </w:tcPr>
          <w:p>
            <w:pPr>
              <w:pStyle w:val="TableContents"/>
              <w:bidi w:val="0"/>
              <w:spacing w:before="0" w:after="283"/>
              <w:jc w:val="both"/>
              <w:rPr/>
            </w:pPr>
            <w:hyperlink w:anchor="a_011">
              <w:r>
                <w:rPr>
                  <w:rStyle w:val="InternetLink"/>
                  <w:caps/>
                </w:rPr>
                <w:t>Legal Matters</w:t>
              </w:r>
            </w:hyperlink>
          </w:p>
        </w:tc>
        <w:tc>
          <w:tcPr>
            <w:tcW w:w="530" w:type="dxa"/>
            <w:tcBorders/>
            <w:vAlign w:val="center"/>
          </w:tcPr>
          <w:p>
            <w:pPr>
              <w:pStyle w:val="TableContents"/>
              <w:bidi w:val="0"/>
              <w:spacing w:before="0" w:after="283"/>
              <w:jc w:val="center"/>
              <w:rPr/>
            </w:pPr>
            <w:hyperlink w:anchor="a_011">
              <w:r>
                <w:rPr>
                  <w:rStyle w:val="InternetLink"/>
                </w:rPr>
                <w:t>27</w:t>
              </w:r>
            </w:hyperlink>
          </w:p>
        </w:tc>
      </w:tr>
      <w:tr>
        <w:trPr/>
        <w:tc>
          <w:tcPr>
            <w:tcW w:w="8030" w:type="dxa"/>
            <w:tcBorders/>
            <w:vAlign w:val="center"/>
          </w:tcPr>
          <w:p>
            <w:pPr>
              <w:pStyle w:val="TableContents"/>
              <w:bidi w:val="0"/>
              <w:spacing w:before="0" w:after="283"/>
              <w:jc w:val="both"/>
              <w:rPr/>
            </w:pPr>
            <w:hyperlink w:anchor="a_012">
              <w:r>
                <w:rPr>
                  <w:rStyle w:val="InternetLink"/>
                  <w:caps/>
                </w:rPr>
                <w:t>Experts</w:t>
              </w:r>
            </w:hyperlink>
          </w:p>
        </w:tc>
        <w:tc>
          <w:tcPr>
            <w:tcW w:w="530" w:type="dxa"/>
            <w:tcBorders/>
            <w:vAlign w:val="center"/>
          </w:tcPr>
          <w:p>
            <w:pPr>
              <w:pStyle w:val="TableContents"/>
              <w:bidi w:val="0"/>
              <w:spacing w:before="0" w:after="283"/>
              <w:jc w:val="center"/>
              <w:rPr/>
            </w:pPr>
            <w:hyperlink w:anchor="a_012">
              <w:r>
                <w:rPr>
                  <w:rStyle w:val="InternetLink"/>
                </w:rPr>
                <w:t>27</w:t>
              </w:r>
            </w:hyperlink>
          </w:p>
        </w:tc>
      </w:tr>
      <w:tr>
        <w:trPr/>
        <w:tc>
          <w:tcPr>
            <w:tcW w:w="8030" w:type="dxa"/>
            <w:tcBorders/>
            <w:vAlign w:val="center"/>
          </w:tcPr>
          <w:p>
            <w:pPr>
              <w:pStyle w:val="TableContents"/>
              <w:bidi w:val="0"/>
              <w:spacing w:before="0" w:after="283"/>
              <w:jc w:val="both"/>
              <w:rPr/>
            </w:pPr>
            <w:hyperlink w:anchor="a_013">
              <w:r>
                <w:rPr>
                  <w:rStyle w:val="InternetLink"/>
                  <w:caps/>
                </w:rPr>
                <w:t>Where You Can Find More Information</w:t>
              </w:r>
            </w:hyperlink>
          </w:p>
        </w:tc>
        <w:tc>
          <w:tcPr>
            <w:tcW w:w="530" w:type="dxa"/>
            <w:tcBorders/>
            <w:vAlign w:val="center"/>
          </w:tcPr>
          <w:p>
            <w:pPr>
              <w:pStyle w:val="TableContents"/>
              <w:bidi w:val="0"/>
              <w:spacing w:before="0" w:after="283"/>
              <w:jc w:val="center"/>
              <w:rPr/>
            </w:pPr>
            <w:hyperlink w:anchor="a_013">
              <w:r>
                <w:rPr>
                  <w:rStyle w:val="InternetLink"/>
                </w:rPr>
                <w:t>28</w:t>
              </w:r>
            </w:hyperlink>
          </w:p>
        </w:tc>
      </w:tr>
      <w:tr>
        <w:trPr/>
        <w:tc>
          <w:tcPr>
            <w:tcW w:w="8030" w:type="dxa"/>
            <w:tcBorders/>
            <w:vAlign w:val="center"/>
          </w:tcPr>
          <w:p>
            <w:pPr>
              <w:pStyle w:val="TableContents"/>
              <w:bidi w:val="0"/>
              <w:spacing w:before="0" w:after="283"/>
              <w:jc w:val="both"/>
              <w:rPr/>
            </w:pPr>
            <w:hyperlink w:anchor="a_014">
              <w:r>
                <w:rPr>
                  <w:rStyle w:val="InternetLink"/>
                  <w:caps/>
                </w:rPr>
                <w:t>Incorporation of Certain Documents by Reference</w:t>
              </w:r>
            </w:hyperlink>
          </w:p>
        </w:tc>
        <w:tc>
          <w:tcPr>
            <w:tcW w:w="530" w:type="dxa"/>
            <w:tcBorders/>
            <w:vAlign w:val="center"/>
          </w:tcPr>
          <w:p>
            <w:pPr>
              <w:pStyle w:val="TableContents"/>
              <w:bidi w:val="0"/>
              <w:spacing w:before="0" w:after="283"/>
              <w:jc w:val="center"/>
              <w:rPr/>
            </w:pPr>
            <w:hyperlink w:anchor="a_014">
              <w:r>
                <w:rPr>
                  <w:rStyle w:val="InternetLink"/>
                </w:rPr>
                <w:t>28</w:t>
              </w:r>
            </w:hyperlink>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 w:name="a_001"/>
      <w:bookmarkEnd w:id="2"/>
      <w:r>
        <w:rPr>
          <w:b/>
          <w:sz w:val="20"/>
        </w:rPr>
        <w:t>ABOUT THIS PROSPECTUS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prospectus is part of a registration statement filed with the Securities and Exchange Commission (the “SEC”) using a “shelf” registration process. Under this shelf process, we may sell the securities described in this prospectus in one or more offerings. This prospectus provides you with a general description of the securities that may be offered. Each time we offer securities for sale, we will provide a prospectus supplement that contains specific information about the terms of that offering. Any prospectus supplement may also add or update information contained in this prospectus. You should read both this prospectus and any prospectus supplement together with additional information described below under “Where You Can Find More Information” and “Information Incorporated by Reference.”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registration statement that contains this prospectus (including the exhibits thereto) contains additional important information about us and the securities we may offer under this prospectus. Specifically, we have filed certain documents that establish the terms of the securities offered by this prospectus as exhibits to the registration statement. We will file certain other documents that establish the terms of the securities offered by this prospectus as exhibits to reports we file with the SEC. You may obtain copies of the registration statement and the other reports and documents referenced herein as described below under the heading “Where You Can Find More Information.”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date of such document. Our business, financial condition, results of operations and prospects may have changed since those dates.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this prospectus, unless the context otherwise requires, references to “Axe Compute,” “we,” “us,” “our” or the “Company” refer to Axe Compute Inc.</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3" w:name="a_002"/>
      <w:bookmarkEnd w:id="3"/>
      <w:r>
        <w:rPr>
          <w:b/>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Some of the statements made in this prospectus are “forward-looking statements” that indicate certain risks and uncertainties related to the Company, many of which are beyond the Company’s control. The Company’s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We may not be able to continue operating without additional financing;</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0"/>
        <w:gridCol w:w="9801"/>
      </w:tblGrid>
      <w:tr>
        <w:trPr/>
        <w:tc>
          <w:tcPr>
            <w:tcW w:w="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Symbol" w:hAnsi="Symbol"/>
              </w:rPr>
            </w:pPr>
            <w:r>
              <w:rPr>
                <w:rFonts w:ascii="Symbol" w:hAnsi="Symbol"/>
              </w:rPr>
              <w:t>·</w:t>
            </w:r>
          </w:p>
        </w:tc>
        <w:tc>
          <w:tcPr>
            <w:tcW w:w="9801" w:type="dxa"/>
            <w:tcBorders/>
            <w:vAlign w:val="center"/>
          </w:tcPr>
          <w:p>
            <w:pPr>
              <w:pStyle w:val="TableContents"/>
              <w:bidi w:val="0"/>
              <w:spacing w:before="0" w:after="283"/>
              <w:jc w:val="both"/>
              <w:rPr/>
            </w:pPr>
            <w:r>
              <w:rPr/>
              <w:t>Continued negative operating cash flows;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capital needs to accomplish our goals, including any further financing, which may be highly dilutive and may include onerous terms;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recent and future acquisitions, including risks related to the benefits and costs of acquisition;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tc>
      </w:tr>
    </w:tbl>
    <w:p>
      <w:pPr>
        <w:pStyle w:val="TextBody"/>
        <w:bidi w:val="0"/>
        <w:spacing w:before="0" w:after="0"/>
        <w:ind w:left="72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initiation, formation, or success of our collaboration arrangements, commercialization activities and product sales levels by our collaboration partners and future payments that may come due to us under these arrangements;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will be unable to protect our intellectual property or claims that we are infringing on others’ intellectual property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1"/>
        <w:gridCol w:w="464"/>
        <w:gridCol w:w="9600"/>
      </w:tblGrid>
      <w:tr>
        <w:trPr/>
        <w:tc>
          <w:tcPr>
            <w:tcW w:w="1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rFonts w:ascii="Symbol" w:hAnsi="Symbol"/>
              </w:rPr>
            </w:pPr>
            <w:r>
              <w:rPr>
                <w:rFonts w:ascii="Symbol" w:hAnsi="Symbol"/>
              </w:rPr>
              <w:t>·</w:t>
            </w:r>
          </w:p>
        </w:tc>
        <w:tc>
          <w:tcPr>
            <w:tcW w:w="9600" w:type="dxa"/>
            <w:tcBorders/>
            <w:vAlign w:val="center"/>
          </w:tcPr>
          <w:p>
            <w:pPr>
              <w:pStyle w:val="TableContents"/>
              <w:bidi w:val="0"/>
              <w:spacing w:before="0" w:after="283"/>
              <w:jc w:val="both"/>
              <w:rPr/>
            </w:pPr>
            <w:r>
              <w:rPr/>
              <w:t>The impact of competition;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Acquisition and maintenance of any necessary regulatory clearances applicable to applications of our technology;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Inability to attract or retain qualified senior management personnel, including sales and marketing personnel;</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never become profitable if our products and services are not accepted by potential customers;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pPr>
            <w:r>
              <w:rPr/>
              <w:t>Possible impact of government regulation and scrutiny;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both"/>
              <w:rPr/>
            </w:pPr>
            <w:r>
              <w:rPr/>
              <w:t>Unexpected costs and operating deficits, and lower than expected sales and revenues,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Adverse results of any legal proceedings;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4"/>
        <w:gridCol w:w="9927"/>
      </w:tblGrid>
      <w:tr>
        <w:trPr/>
        <w:tc>
          <w:tcPr>
            <w:tcW w:w="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7" w:type="dxa"/>
            <w:tcBorders/>
            <w:vAlign w:val="center"/>
          </w:tcPr>
          <w:p>
            <w:pPr>
              <w:pStyle w:val="TableContents"/>
              <w:bidi w:val="0"/>
              <w:spacing w:before="0" w:after="283"/>
              <w:jc w:val="both"/>
              <w:rPr/>
            </w:pPr>
            <w:r>
              <w:rPr/>
              <w:t>The volatility of our operating results and financial condition,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6"/>
        <w:gridCol w:w="515"/>
        <w:gridCol w:w="9534"/>
      </w:tblGrid>
      <w:tr>
        <w:trPr/>
        <w:tc>
          <w:tcPr>
            <w:tcW w:w="1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Symbol" w:hAnsi="Symbol"/>
              </w:rPr>
            </w:pPr>
            <w:r>
              <w:rPr>
                <w:rFonts w:ascii="Symbol" w:hAnsi="Symbol"/>
              </w:rPr>
              <w:t>·</w:t>
            </w:r>
          </w:p>
        </w:tc>
        <w:tc>
          <w:tcPr>
            <w:tcW w:w="9534" w:type="dxa"/>
            <w:tcBorders/>
            <w:vAlign w:val="center"/>
          </w:tcPr>
          <w:p>
            <w:pPr>
              <w:pStyle w:val="TableContents"/>
              <w:bidi w:val="0"/>
              <w:spacing w:before="0" w:after="283"/>
              <w:jc w:val="both"/>
              <w:rPr/>
            </w:pPr>
            <w:r>
              <w:rPr/>
              <w:t>Management of growth;</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our business and operations could be materially and adversely affected by disruptions caused by economic and geopolitical uncertainties as well as epidemics or pandemics; and</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0"/>
        <w:gridCol w:w="234"/>
        <w:gridCol w:w="9901"/>
      </w:tblGrid>
      <w:tr>
        <w:trPr/>
        <w:tc>
          <w:tcPr>
            <w:tcW w:w="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Symbol" w:hAnsi="Symbol"/>
              </w:rPr>
            </w:pPr>
            <w:r>
              <w:rPr>
                <w:rFonts w:ascii="Symbol" w:hAnsi="Symbol"/>
              </w:rPr>
              <w:t>·</w:t>
            </w:r>
          </w:p>
        </w:tc>
        <w:tc>
          <w:tcPr>
            <w:tcW w:w="9901" w:type="dxa"/>
            <w:tcBorders/>
            <w:vAlign w:val="center"/>
          </w:tcPr>
          <w:p>
            <w:pPr>
              <w:pStyle w:val="TableContents"/>
              <w:bidi w:val="0"/>
              <w:spacing w:before="0" w:after="283"/>
              <w:jc w:val="both"/>
              <w:rPr/>
            </w:pPr>
            <w:r>
              <w:rPr/>
              <w:t>Other specific risks that may be alluded to in this report.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Also, these forward-looking statements represent our estimates and assumptions only as of the date of the document containing the applicable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read this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4" w:name="a_003"/>
      <w:bookmarkEnd w:id="4"/>
      <w:r>
        <w:rPr>
          <w:b/>
          <w:sz w:val="20"/>
        </w:rPr>
        <w:t>THE COMPANY</w:t>
      </w:r>
    </w:p>
    <w:p>
      <w:pPr>
        <w:pStyle w:val="TextBody"/>
        <w:bidi w:val="0"/>
        <w:spacing w:before="0" w:after="0"/>
        <w:ind w:left="0" w:right="0" w:hanging="0"/>
        <w:jc w:val="center"/>
        <w:rPr/>
      </w:pPr>
      <w:r>
        <w:rPr/>
        <w:t> </w:t>
      </w:r>
    </w:p>
    <w:p>
      <w:pPr>
        <w:pStyle w:val="TextBody"/>
        <w:bidi w:val="0"/>
        <w:spacing w:before="0" w:after="0"/>
        <w:ind w:left="0" w:right="0" w:hanging="0"/>
        <w:jc w:val="both"/>
        <w:rPr>
          <w:b/>
          <w:i/>
          <w:sz w:val="20"/>
        </w:rPr>
      </w:pPr>
      <w:r>
        <w:rPr>
          <w:b/>
          <w:i/>
          <w:sz w:val="20"/>
        </w:rPr>
        <w:t>This summary contains basic information about us. You should read the entire prospectus carefully, especially the risks of investing in our securities discussed under “Risk Factors.” Some of the statements contained in this prospectus supplement, including statements under this summary and “Risk Factors” are forward-looking statements and may involve a number of risks and uncertainties. We note that our actual results and future events may differ significantly based upon a number of factors. You should not put undue reliance on the forward-looking statements in this document, which speak only as of the date on the cover of this prospectus. References to “we,” “our,” “us,” the “Company,” or “Axe Compute” refer to Axe Compute Inc., a Delaware corporation.</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About Axe Compute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Axe Compute Inc. is a technology company focused on providing high-performance computing infrastructure for artificial intelligence (“AI”) workloads by sourcing large-scale graphics processing unit (“GPU”) capacity from hardware manufacturers and infrastructure suppliers and deploying that capacity for enterprise customers under long-term service agreements. The Company assist customers across the full GPU infrastructure stack, including hardware procurement, colocation, networking, storage, and financing. It can also immediately access compute capacity through relationships with third party compute providers to provide customers compute capacity that is already online and available for rent. The Company also continues to evaluate strategic alternatives for its legacy oncology drug discovery business (the “Legacy Business”), including its proprietary biobank of tumor samples and historical drug response data, which is not part of the Company’s core compute infrastructure operations.</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Our Business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Compute Services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As of the date of this prospectus, we primarily provide compute services under two customer models: (1) designing and deploying customized, large scale compute infrastructure solutions for enterprise clients; and (2) providing immediate access to GPU capacity (in as fast as 24-48 hours) that is already online and available for rent from third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seeking large-scale, long-duration GPU compute capacity, we build and deploy dedicated compute infrastructure solutions. Under this model, customers contract for dedicated AI infrastructure tailored to their compute, performance, geographic, security, and operational requirements. We coordinate with customers to architect deployments that may include GPU compute, high-speed storage, networking, power infrastructure, and related managed services. Deployments are typically hosted in enterprise-grade data center facilities and are operated by the Company pursuant to service level commitments. We generally finance and then retain ownership of the deployed hardware and related infrastructure, while providing customers access to the infrastructure through multi-year service agreements. Customer contracts are typically structured with deposits, prepayments, and recurring monthly payments, including take-or-pay provisions intended to provide income visibility throughout the contract term.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that need immediate access to GPU compute capacity, we provide access to high-performance GPU compute infrastructure. Our access to third-party networks encompasses global locations and GPUs capable of supporting a broad range of artificial intelligence, machine learning, and high-performance computing workloads. We deliver compute capacity to customers through a managed infrastructure model, typically within 48 hours of customer engagement, without requiring customers to make capital investments in physical hardware or data center facilities.</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Strategic Compute Reserve</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 September 2025, the Company adopted a treasury strategy centered on ATH, the native utility token of the Aethir network. Aethir is a decentralized physical infrastructure network developed by DCI Foundation, a Panama foundation company (“DCI”), that supports GPU compute workloads. ATH serves as the a mechanism through which the Company obtains access to immediate GPU capacity on the Aethir network and deploys that access to customers. The Company’s significant ATH holdings provide a cost-efficient mechanism for acquiring immediate access to GPU capacity at scale, which the Company refers to as its Strategic Compute Reserve. When the Company purchases ATH in the open market, we are entitled to receive additional ATH tokens equal to 20% of the number of tokens purchased, creating a compounding economic benefit that enhances the Company’s ability to secure compute resources over time.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8, 2026, the Company’s Strategic Compute Reserve, inclusive of unlocked tokens and rights to receive tokens in the future, included approximately 6.197 billion ATH, with a market value of approximately $29.1 million, based on a price of $0.0047 per ATH, the price reported on the OKX exchange as of 4:00 p.m. ET on such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may continue acquiring additional ATH in the open market to expand its compute access capacity and to earn yield on its ATH holdings by engaging in ATH staking and other activities. As a holder of ATH, the Company accrues unrealized gains or losses from any appreciation or depreciation, as applicable, in the value of ATH tokens, which trade on various cryptocurrency exchanges. A significant portion of the Company’s balance sheet is allocated to its Strategic Compute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Currently, the Strategic Compute Reserve is primarily comprised of ATH, and the Company does not intend to allocate reserve assets to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Strategic Compute Reserve is intended to support compute access and bring value to stockholders through the following: </w:t>
      </w:r>
    </w:p>
    <w:p>
      <w:pPr>
        <w:pStyle w:val="TextBody"/>
        <w:bidi w:val="0"/>
        <w:jc w:val="both"/>
        <w:rPr/>
      </w:pPr>
      <w:r>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05" w:type="dxa"/>
            <w:tcBorders/>
            <w:vAlign w:val="center"/>
          </w:tcPr>
          <w:p>
            <w:pPr>
              <w:pStyle w:val="TableContents"/>
              <w:bidi w:val="0"/>
              <w:spacing w:before="0" w:after="283"/>
              <w:jc w:val="both"/>
              <w:rPr>
                <w:sz w:val="20"/>
              </w:rPr>
            </w:pPr>
            <w:r>
              <w:rPr>
                <w:sz w:val="20"/>
              </w:rPr>
              <w:t>deploying ATH to acquire immediate access to GPU compute resources through the Aethir network;</w:t>
            </w:r>
          </w:p>
        </w:tc>
      </w:tr>
    </w:tbl>
    <w:p>
      <w:pPr>
        <w:pStyle w:val="TextBody"/>
        <w:bidi w:val="0"/>
        <w:jc w:val="both"/>
        <w:rPr/>
      </w:pPr>
      <w:r>
        <w:rPr/>
        <w:t> </w:t>
      </w:r>
    </w:p>
    <w:tbl>
      <w:tblPr>
        <w:tblW w:w="10135" w:type="dxa"/>
        <w:jc w:val="left"/>
        <w:tblInd w:w="0" w:type="dxa"/>
        <w:tblLayout w:type="fixed"/>
        <w:tblCellMar>
          <w:top w:w="0" w:type="dxa"/>
          <w:left w:w="0" w:type="dxa"/>
          <w:bottom w:w="0" w:type="dxa"/>
          <w:right w:w="0" w:type="dxa"/>
        </w:tblCellMar>
      </w:tblPr>
      <w:tblGrid>
        <w:gridCol w:w="75"/>
        <w:gridCol w:w="170"/>
        <w:gridCol w:w="98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90" w:type="dxa"/>
            <w:tcBorders/>
            <w:vAlign w:val="center"/>
          </w:tcPr>
          <w:p>
            <w:pPr>
              <w:pStyle w:val="TableContents"/>
              <w:bidi w:val="0"/>
              <w:spacing w:before="0" w:after="283"/>
              <w:jc w:val="both"/>
              <w:rPr>
                <w:sz w:val="20"/>
              </w:rPr>
            </w:pPr>
            <w:r>
              <w:rPr>
                <w:sz w:val="20"/>
              </w:rPr>
              <w:t>lending and staking ATH held in the Strategic Compute Reserve to earn yield and maintain a productive reserve position;</w:t>
            </w:r>
          </w:p>
        </w:tc>
      </w:tr>
    </w:tbl>
    <w:p>
      <w:pPr>
        <w:pStyle w:val="TextBody"/>
        <w:bidi w:val="0"/>
        <w:jc w:val="both"/>
        <w:rPr/>
      </w:pPr>
      <w:r>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20" w:type="dxa"/>
            <w:tcBorders/>
            <w:vAlign w:val="center"/>
          </w:tcPr>
          <w:p>
            <w:pPr>
              <w:pStyle w:val="TableContents"/>
              <w:bidi w:val="0"/>
              <w:spacing w:before="0" w:after="283"/>
              <w:jc w:val="both"/>
              <w:rPr>
                <w:sz w:val="20"/>
              </w:rPr>
            </w:pPr>
            <w:r>
              <w:rPr>
                <w:sz w:val="20"/>
              </w:rPr>
              <w:t>purchasing locked ATH at a discount to the current spot price;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deploying ATH to acquire On-Demand GPU compute resources through the Aethir network, or selling the Company’s ATH holdings, whether on the open market, through block trades, or other negotiated transactions, to fund working capital and general corporate needs.</w:t>
            </w:r>
          </w:p>
        </w:tc>
      </w:tr>
    </w:tbl>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Drug Discovery Services / Legacy Business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provision of compute services is the priority of the Company and remains Management’s focus. We also maintain our legacy oncology drug discovery solutions business, which was previously conducted under the Predictive Oncology Inc. name. Current operations in this business are limited, and the Company is exploring strategic alternatives, including a potential sale or other disposition, although no definitive plan has been approved.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In February 2026, the Company announced that it is exploring strategic alternatives for this oncology drug discovery solutions business. However, as of the date of this prospectus, the Company’s Board of Directors has not yet committed to a specific course of action.</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b/>
          <w:sz w:val="20"/>
        </w:rPr>
      </w:pPr>
      <w:r>
        <w:rPr>
          <w:b/>
          <w:sz w:val="20"/>
        </w:rPr>
        <w:t>Our Industry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global compute infrastructure market represents a significant and growing opportunity. The global cloud computing market- which encompasses the infrastructure-as-a-service and platform-as-a-service segments most relevant to GPU compute- is estimated at approximately $1 trillion in 2026 and is projected to reach approximately $2.4 to $3.3 trillion by 2030 to 2033, representing compound annual growth rates of approximately 16% to 20%, according to multiple independent market research firms. When focused specifically on AI-related computing, worldwide AI spending is forecast to total $2.52 trillion in 2026, a 44% increase year-over-year, according to leading research. Building AI foundations alone is expected to drive a 49% increase in spending on AI-optimized servers in 2026, representing 17% of total AI spending. It is . estimated in 2025 that over 50% of all data center capacity was already dedicated to AI workloads, an amount they expect to grow by a factor of approximately 3.5 times by 2030, and that approximately $6.7 trillion will be spent on data centers globally between 2025 and 2030. Notwithstanding this level of investment, demand continues to outpace supply. As of early 2026, North American data center vacancy rates reached a record low of 1.6% and data center demand increased approximately 24% in 2025, and average GPU procurement lead times stand at 36 to 52 weeks, according to CBRE Investment Management. We believe this supply-demand imbalance creates a significant opportunity for our GPU compute business, which provides distributed GPU compute capacity for AI and other high-performance computing workloads.</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Corporate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Our principal executive offices are located at 91 43rd Street, Suite 110 Pittsburgh, Pennsylvania and our telephone number is (412) 432-1500.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We were originally incorporated in Minnesota on April 23, 2002, and reincorporated in Delaware in 2013. We changed our name from Skyline Medical Inc. to Precision Therapeutics Inc. on February 1, 2018, to Predictive Oncology Inc. on June 13, 2019, and finally to Axe Compute Inc. on December 11, 2025. Additional information about us is available on our website at https://axecompute.com/</w:t>
      </w:r>
      <w:r>
        <w:rPr>
          <w:i/>
          <w:sz w:val="20"/>
        </w:rPr>
        <w:t>.</w:t>
      </w:r>
      <w:r>
        <w:rPr>
          <w:sz w:val="20"/>
        </w:rPr>
        <w:t xml:space="preserve"> Information contained on, or that can be accessed through, our website is not incorporated by reference into this prospectus.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For a description of our business, financial condition, results of operations and other important information regarding us, we refer you to our filings with the SEC incorporated by reference in this prospectus supplement. For instructions on how to find copies of these documents, see “Where You Can Find More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Recent Developments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Kyle Okamoto as President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 2026, the Board of Directors appointed Kyle Okamoto to serve as President of the Company. Mr. Okamoto most recently served as Chief Technology Officer of Aethir, a distributed GPU cloud infrastructure and AI compute platform company. Prior to Aethir, Mr. Okamoto held senior leadership positions at Ericsson and Verizon.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Jeremy Yaukey-Witter as Chief Financial Officer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10, 2026, Josh Blacher advised the Company of his intention to resign from his position as Chief Financial Officer, effective May 18, 2026. Mr. Blacher's resignation was not due to any disagreement with the Company on any matter relating to the Company's operations, policies, or practices. On April 16, 2026, the Board of Directors appointed Jeremy Yaukey-Witter to serve as co-Chief Financial Officer alongside Mr. Blacher through May 18, 2026, and as sole Chief Financial Officer thereafter. Mr. Yaukey-Witter joined the Company in April 2023 and most recently served as Controller.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April 2026 Enterprise Infrastructure Contract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22, 2026, the Company announced its entry into a 36-month enterprise infrastructure contract with an enterprise customer (the “April Agreement”). The April Agreement has an aggregate contract value of approximately $260 million. Under the April Agreement, the Company will deliver a dedicated cluster of 2,304 NVIDIA B300 GPUs and AI-focused high-speed storage infrastructure from a single U.S. Tier 3 data center facility. The cluster is intended to support large-scale AI model training, fine-tuning, and high-throughput inference workloads. The infrastructure will maintain NVIDIA reference architecture throughout the contract period. The initial term of the Agreement is 36 months, with targeted deployment commencing in the third quarter of 2026. The Agreement includes options to renew for additional years beyond the initial term. The payment structure under the April Agreement consists of a deposit, prepayment, and monthly payments made in advance on a take-or-pay basis. The agreement includes enterprise-grade service levels.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5" w:name="a_004"/>
      <w:bookmarkEnd w:id="5"/>
      <w:r>
        <w:rPr>
          <w:b/>
          <w:sz w:val="20"/>
        </w:rPr>
        <w:t>RISK FACTORS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An investment in our securities involves a number of risks. Before deciding to invest in our securities, you should carefully consider the risks discussed under the sections captioned “Risk Factors” contained in our Annual Report on Form 10-K for the year ended December 31, 2025, which report is incorporated by reference in this prospectus, the information and documents incorporated by reference herein, and in any prospectus supplement or free writing prospectus that we have authorized for use in connection with an offering. If any of these risks actually occurs, our business, financial condition, results of operations or cash flow could be harmed. This could cause the trading price of our common stock to decline, resulting in a loss of all or part of your investment. The risks described in the documents referenced above are not the only ones that we face. Additional risks not presently known to us or that we currently deem immaterial may also affect our business.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6" w:name="a_005"/>
      <w:bookmarkEnd w:id="6"/>
      <w:r>
        <w:rPr>
          <w:b/>
          <w:sz w:val="20"/>
        </w:rPr>
        <w:t>USE OF PROCEEDS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indicated in the prospectus supplement, we intend to use the net proceeds from the sale of securities offered by the prospectus for general corporate purposes and working capital requirements, including to fund our Compute Services operations, expand our infrastructure deployments, and grow our Strategic Compute Reserve to secure additional On-Demand GPU capacity. We may also use a portion of the net proceeds to:</w:t>
      </w:r>
    </w:p>
    <w:p>
      <w:pPr>
        <w:pStyle w:val="TextBody"/>
        <w:bidi w:val="0"/>
        <w:spacing w:before="0" w:after="0"/>
        <w:ind w:left="0" w:right="0" w:hanging="0"/>
        <w:jc w:val="both"/>
        <w:rPr/>
      </w:pPr>
      <w:r>
        <w:rPr/>
        <w:t> </w:t>
      </w:r>
    </w:p>
    <w:tbl>
      <w:tblPr>
        <w:tblW w:w="2380" w:type="dxa"/>
        <w:jc w:val="left"/>
        <w:tblInd w:w="0" w:type="dxa"/>
        <w:tblLayout w:type="fixed"/>
        <w:tblCellMar>
          <w:top w:w="0" w:type="dxa"/>
          <w:left w:w="0" w:type="dxa"/>
          <w:bottom w:w="0" w:type="dxa"/>
          <w:right w:w="0" w:type="dxa"/>
        </w:tblCellMar>
      </w:tblPr>
      <w:tblGrid>
        <w:gridCol w:w="75"/>
        <w:gridCol w:w="95"/>
        <w:gridCol w:w="22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210" w:type="dxa"/>
            <w:tcBorders/>
            <w:vAlign w:val="center"/>
          </w:tcPr>
          <w:p>
            <w:pPr>
              <w:pStyle w:val="TableContents"/>
              <w:bidi w:val="0"/>
              <w:spacing w:before="0" w:after="283"/>
              <w:jc w:val="both"/>
              <w:rPr>
                <w:sz w:val="20"/>
              </w:rPr>
            </w:pPr>
            <w:r>
              <w:rPr>
                <w:sz w:val="20"/>
              </w:rPr>
              <w:t>make capital expenditures,</w:t>
            </w:r>
          </w:p>
        </w:tc>
      </w:tr>
    </w:tbl>
    <w:p>
      <w:pPr>
        <w:pStyle w:val="TextBody"/>
        <w:bidi w:val="0"/>
        <w:ind w:left="720" w:right="0" w:hanging="0"/>
        <w:jc w:val="both"/>
        <w:rPr/>
      </w:pPr>
      <w:r>
        <w:rPr/>
        <w:t> </w:t>
      </w:r>
    </w:p>
    <w:tbl>
      <w:tblPr>
        <w:tblW w:w="7525" w:type="dxa"/>
        <w:jc w:val="left"/>
        <w:tblInd w:w="0" w:type="dxa"/>
        <w:tblLayout w:type="fixed"/>
        <w:tblCellMar>
          <w:top w:w="0" w:type="dxa"/>
          <w:left w:w="0" w:type="dxa"/>
          <w:bottom w:w="0" w:type="dxa"/>
          <w:right w:w="0" w:type="dxa"/>
        </w:tblCellMar>
      </w:tblPr>
      <w:tblGrid>
        <w:gridCol w:w="75"/>
        <w:gridCol w:w="95"/>
        <w:gridCol w:w="735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55" w:type="dxa"/>
            <w:tcBorders/>
            <w:vAlign w:val="center"/>
          </w:tcPr>
          <w:p>
            <w:pPr>
              <w:pStyle w:val="TableContents"/>
              <w:bidi w:val="0"/>
              <w:spacing w:before="0" w:after="283"/>
              <w:jc w:val="both"/>
              <w:rPr>
                <w:sz w:val="20"/>
              </w:rPr>
            </w:pPr>
            <w:r>
              <w:rPr>
                <w:sz w:val="20"/>
              </w:rPr>
              <w:t>license or acquire intellectual property or technologies to incorporate into our products, or</w:t>
            </w:r>
          </w:p>
        </w:tc>
      </w:tr>
    </w:tbl>
    <w:p>
      <w:pPr>
        <w:pStyle w:val="TextBody"/>
        <w:bidi w:val="0"/>
        <w:ind w:left="72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fund possible acquisitions of, or investments in, complementary compute infrastructure businesses, technology assets, partnerships, and minority investments.</w:t>
            </w:r>
          </w:p>
        </w:tc>
      </w:tr>
    </w:tbl>
    <w:p>
      <w:pPr>
        <w:pStyle w:val="TextBody"/>
        <w:bidi w:val="0"/>
        <w:spacing w:before="0" w:after="283"/>
        <w:jc w:val="left"/>
        <w:rPr/>
      </w:pPr>
      <w:r>
        <w:rPr/>
        <w:t> </w:t>
      </w:r>
    </w:p>
    <w:p>
      <w:pPr>
        <w:pStyle w:val="TextBody"/>
        <w:bidi w:val="0"/>
        <w:jc w:val="both"/>
        <w:rPr>
          <w:sz w:val="20"/>
        </w:rPr>
      </w:pPr>
      <w:r>
        <w:rPr>
          <w:sz w:val="20"/>
        </w:rPr>
        <w:t>We have not determined the amounts we plan to spend on the areas listed above or the timing of these expenditures. As a result, our management will have broad discretion to allocate the net proceeds of the offerings. We have no binding commitments or agreements with respect to any specific acquisition as of the date of this prospectus, although we may evaluate acquisition opportunities in the compute infrastructure sector.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7" w:name="a_006"/>
      <w:bookmarkEnd w:id="7"/>
      <w:r>
        <w:rPr>
          <w:b/>
          <w:sz w:val="20"/>
        </w:rPr>
        <w:t>DESCRIPTION OF CAPITAL STOCK</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following description summarizes the material terms of our capital stock. This summary is, however, subject to the provisions of our certificate of incorporation and bylaws. For greater detail about our capital stock, please refer to our certificate of incorporation and bylaws.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General</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Our authorized capital stock consists of 200,000,000 shares of Common Stock, and 20,000,000 shares of preferred stock, $0.01 par value per share (“Preferred Stock”). Out of the Preferred Stock, as of June 8, 2026, 2,300,000 shares have been designated Series B Convertible Preferred Stock, of which 79,246  shares were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outstanding shares of our Common Stock and Preferred Stock are fully paid and nonassessable.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Series B Convertible Preferred Stock is convertible into 2 shares of Common Stock, subject to a 4.99% beneficial ownership </w:t>
      </w:r>
      <w:r>
        <w:rPr>
          <w:spacing w:val="-2"/>
          <w:sz w:val="20"/>
        </w:rPr>
        <w:t>blocker.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Common Stock</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As of June 8, 2026, we had 10,819,094 shares of common stock outstanding held by approximately 170 stockholders of </w:t>
      </w:r>
      <w:r>
        <w:rPr>
          <w:spacing w:val="-2"/>
          <w:sz w:val="20"/>
        </w:rPr>
        <w:t>record.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Voting Rights</w:t>
      </w:r>
      <w:r>
        <w:rPr>
          <w:sz w:val="20"/>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Dividend Rights</w:t>
      </w:r>
      <w:r>
        <w:rPr>
          <w:sz w:val="20"/>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Liquidation Rights</w:t>
      </w:r>
      <w:r>
        <w:rPr>
          <w:sz w:val="20"/>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Conversion, Redemption and Preemptive Rights</w:t>
      </w:r>
      <w:r>
        <w:rPr>
          <w:sz w:val="20"/>
        </w:rPr>
        <w:t>. Holders of our Common Stock have no conversion, redemption, preemptive, subscription or similar rights.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Anti-Takeover Provisions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Bylaws</w:t>
      </w:r>
      <w:r>
        <w:rPr>
          <w:sz w:val="20"/>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Advance Notice Provisions for Raising Business or Nominating Directors</w:t>
      </w:r>
      <w:r>
        <w:rPr>
          <w:sz w:val="20"/>
        </w:rPr>
        <w:t>. Sections 2.09 and 2.10 of our Bylaws contain advance-notice provisions relating 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Number of Directors and Vacancies</w:t>
      </w:r>
      <w:r>
        <w:rPr>
          <w:sz w:val="20"/>
        </w:rPr>
        <w:t>. Our Bylaws provide that the exact number of directors shall be determined from time to time solely by resolution adopted by the affirmative vote of a majority of the entire Board of Directors. The Board of Directors is divided into three classes, as nearly equal in number as possible, designated: Class I, Class II and Class III (each, a “</w:t>
      </w:r>
      <w:r>
        <w:rPr>
          <w:sz w:val="20"/>
          <w:u w:val="single"/>
        </w:rPr>
        <w:t>Class</w:t>
      </w:r>
      <w:r>
        <w:rPr>
          <w:sz w:val="20"/>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u w:val="single"/>
        </w:rPr>
        <w:t>Delaware Law</w:t>
      </w:r>
      <w:r>
        <w:rPr>
          <w:sz w:val="20"/>
        </w:rPr>
        <w:t>. We are subject to Section 203 of the Delaware General Corporation Law. This provision generally prohibits a Delaware corporation from engaging in any business combination with any interested stockholder for a period of three years following the date the stockholder became an interested stockholder,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prior to such date, the board of directors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on or subsequent to such date, the business combination is approved by the board of directors and authorized at an annual meeting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Section 203 defines a business combination to include:</w:t>
      </w:r>
    </w:p>
    <w:p>
      <w:pPr>
        <w:pStyle w:val="TextBody"/>
        <w:bidi w:val="0"/>
        <w:spacing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merger or consolidation involving the corporation and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sale, transfer, pledge or other disposition of 10% or more of the assets of the corporation involving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subject to certain exceptions, any transaction that results in the issuance or transfer by the corporation of any stock of the corporation to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transaction involving the corporation that has the effect of increasing the proportionate share of the stock of any class or series of the corporation beneficially owned by the interested stockholder; or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general, Section 203 defines an “interested stockholder” as any entity or person beneficially owning 15% or more of the outstanding voting stock of a corporation, or an affiliate or associate of the corporation and was the owner of 15% or more of the outstanding voting stock of a corporation at any time within three years prior to the time of determination of interested stockholder status; and any entity or person affiliated with or controlling or controlled by such entity or person.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statutory provisions could delay or frustrate the removal of incumbent directors or a change in control of our company. They could also discourage, impede, or prevent a merger, tender offer, or proxy contest, even if such event would be favorable to the interests of stockholders. In addition, note that while Delaware law permits companies to opt out of its business combination statute, our Certificate of Incorporation does not include this opt-out provision.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Transfer Agent and Registrar</w:t>
      </w:r>
    </w:p>
    <w:p>
      <w:pPr>
        <w:pStyle w:val="TextBody"/>
        <w:bidi w:val="0"/>
        <w:spacing w:before="0" w:after="0"/>
        <w:ind w:left="0" w:right="0" w:firstLine="720"/>
        <w:jc w:val="left"/>
        <w:rPr/>
      </w:pPr>
      <w:r>
        <w:rPr/>
        <w:t> </w:t>
      </w:r>
    </w:p>
    <w:p>
      <w:pPr>
        <w:pStyle w:val="TextBody"/>
        <w:bidi w:val="0"/>
        <w:spacing w:before="0" w:after="0"/>
        <w:ind w:left="0" w:right="0" w:hanging="0"/>
        <w:jc w:val="left"/>
        <w:rPr>
          <w:sz w:val="20"/>
        </w:rPr>
      </w:pPr>
      <w:r>
        <w:rPr>
          <w:sz w:val="20"/>
        </w:rPr>
        <w:t>The transfer agent and registrar for our common stock is Pacific Stock Transfer.</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Listing</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The shares of our common stock are listed on The Nasdaq Capital Market under the symbol “AGPU.” On June 8, 2026, the last reported sale price per share for our common stock as reported by The Nasdaq Capital Market was $7.32.</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action by our stockholders, to designate and issue up to 20,000,000 shares of preferred stock in one or more series or classes and to designate the rights, preferences and privileges of each series or class, which may be greater than the rights of our common stock. The Board’s authority to issue preferred stock without stockholder approval could make it more difficult for a third party to acquire control of the Company and could discourage such attempt.</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Series B Convertible Preferred Stock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of units that closed on August 31, 2015, we issued as part of the units 1,895,010 shares of Series B Convertible Preferred Stock pursuant to a Certificate of Designation approved by our Board.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separated from the other securities included within the units as of February 29, 2016 and are currently convertible. As of June 8, 2026, 79,246  shares of Series B Convertible Preferred Stock remain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convertible into two (2) shares of common stock. The number of shares of common stock issuable upon conversion of the Series B Convertible Preferred Stock is subject to appropriate adjustment in the event of stock dividends, stock splits, reorganizations or similar events affecting our common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the occurrence of a “Fundamental Transaction”, each share of Series B Convertible Preferred Stock shall be automatically converted into one share of common stock of the Company, subject to the beneficial ownership limitation discussed in the next paragraph. A “Fundamental Transaction” means that (i) the Company shall, directly or indirectly, in one or more related transactions, (1) consolidate or merge with or into (whether or not the Company is the surviving corporation) any other person unless the shareholders of the Company immediately prior to such consolidation or merger continue to hold more than 50% of the outstanding shares of voting stock after such consolidation or merger, or (2)sell, lease, license, assign, transfer, convey or otherwise dispose of all or substantially all of the properties and assets of the Company and its subsidiaries, taken as a whole,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Exchange Act and the rules and regulations promulgated thereunder), other than a Permitted Holder, is or shall become the “beneficial owner” (as defined in Rule 13d-3 under the Exchange Act), directly or indirectly, of 50% of the aggregate ordinary voting power represented by issued and outstanding voting stock of the Company. The term Permitted Holders means Josh Kornberg, Atlantic Partners Alliance and SOK Partners, LLC and each of their respective affiliates.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not convertible by the holder of such preferred stock to the extent (and only to the extent) that the holder or any of its affiliates would beneficially own in excess of 4.99% of the common stock of the Company. For purposes of the limitation described in this paragraph, beneficial ownership and all determinations and calculations are determined in accordance with Section 13(d) of the Exchange Act and the rules and regulations promulgated thereunder.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has no voting rights, except that the holders of shares of a majority of the Series B Convertible Preferred Stock will be required to effect or validate any amendment, alteration or repeal of any of the provisions of the Certificate of Designation that materially adversely affects the powers, preferences or special rights of the Series B Convertible Preferred Stock, whether by merger or consolidation or otherwise; provided, however, that (i) in the event of an amendment to terms of the Series B Convertible Preferred Stock, including by merger or consolidation, so long as the Series B Convertible Preferred Stock remains outstanding with the terms thereof materially unchanged, or the Series B Convertible Preferred Stock is converted into, preference securities of the surviving entity, or its ultimate parent, with such powers, preferences or special rights that are, in the good faith determination of the Board of the Company, taken as a whole, not materially less favorable to the holders of the Series B Convertible Preferred Stock than the powers, preferences or special rights of the Series B Convertible Preferred Stock in effect prior to such amendment or the occurrence of such event, taken as a whole, then such amendment or the occurrence of such event will not be deemed to materially and adversely affect such powers, preferences or special rights of the Series B Convertible Preferred Stock and (ii) the authorization, establishment or issuance by the Corporation of any other series of preferred stock with powers, preferences or special rights that are senior to or on a parity with the Series B Preferred Stock, including, but not limited to, powers, preferences or special rights with respect to dividends, distributions or liquidation preferences, shall not be deemed to materially and adversely affect the power, preferences or special rights of the Series B Preferred Stock, and in the case of either clause (i) or (ii), the holders shall not have any voting rights with respect thereto, and provided further that, (iii) prior to the date that is the six month anniversary of the Issuance Date, no amendment, alteration or repeal of any of the provisions of this Certificate of Designation shall be made that affects the powers, preferences or special rights of the Series B Preferred Stock in any manner, whether by merger or consolidation or otherwise. An amendment to the terms of the Series B Convertible Preferred Stock only requires the vote of the holders of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With respect to payment of dividends and distribution of assets upon liquidation or dissolution or winding up of the Company, the Series B Convertible Preferred Stock shall rank equal to the common stock of the Company. No sinking fund has been established for the retirement or redemption of the Series B Convertible Preferred Stock. As such, the Series B Convertible Preferred Stock is not subject to any restriction on the repurchase or redemption of shares by the Company due to an arrearage in the payment of dividends or sinking fund installments.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also has no liquidation rights or preemption rights, and there are no special classifications of our Board related to the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shares of common stock issuable upon conversion of the Series B Convertible Preferred Stock have been duly authorized, validly issued and fully paid and are non-assessable. We have authorized and reserved at least that number of shares of common stock equal to the number of shares of common stock issuable upon conversion of all outstanding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HOLDER OF SERIES B CONVERTIBLE PREFERRED STOCK DO NOT POSSESS ANY RIGHTS AS A STOCKHOLDER UNDER THE SHARES OF SERIES B CONVERTIBLE PREFERRED STOCK UNTIL THE HOLDER CONVERTS THE SHARES OF SERIES B CONVERTIBLE PREFERRED STOCK.</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is no established public trading market for our Series B Convertible Preferred Stock, and we do not expect a market to develop. We do not intend to apply to list Series B Convertible Preferred Stock on any securities exchange. Without an active market, the liquidity of the Series B Convertible Preferred Stock will be limited.</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One or More New Series of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stock of each series will be fixed by the certificate of designation relating to that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stockholder approval, subject to limitations prescribed by law, to provide for the issuance of the shares of preferred stock in one or more series, and by filing a certificate pursuant to the applicable law of the State of Delaware,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both"/>
              <w:rPr/>
            </w:pPr>
            <w:r>
              <w:rPr/>
              <w:t>the number of shares constituting that series;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7"/>
        <w:gridCol w:w="9558"/>
      </w:tblGrid>
      <w:tr>
        <w:trPr/>
        <w:tc>
          <w:tcPr>
            <w:tcW w:w="1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rFonts w:ascii="Symbol" w:hAnsi="Symbol"/>
              </w:rPr>
            </w:pPr>
            <w:r>
              <w:rPr>
                <w:rFonts w:ascii="Symbol" w:hAnsi="Symbol"/>
              </w:rPr>
              <w:t>·</w:t>
            </w:r>
          </w:p>
        </w:tc>
        <w:tc>
          <w:tcPr>
            <w:tcW w:w="9558" w:type="dxa"/>
            <w:tcBorders/>
            <w:vAlign w:val="center"/>
          </w:tcPr>
          <w:p>
            <w:pPr>
              <w:pStyle w:val="TableContents"/>
              <w:bidi w:val="0"/>
              <w:spacing w:before="0" w:after="283"/>
              <w:jc w:val="both"/>
              <w:rPr/>
            </w:pPr>
            <w:r>
              <w:rPr/>
              <w:t>dividend rights and rates;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8"/>
        <w:gridCol w:w="884"/>
        <w:gridCol w:w="9053"/>
      </w:tblGrid>
      <w:tr>
        <w:trPr/>
        <w:tc>
          <w:tcPr>
            <w:tcW w:w="2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rFonts w:ascii="Symbol" w:hAnsi="Symbol"/>
              </w:rPr>
            </w:pPr>
            <w:r>
              <w:rPr>
                <w:rFonts w:ascii="Symbol" w:hAnsi="Symbol"/>
              </w:rPr>
              <w:t>·</w:t>
            </w:r>
          </w:p>
        </w:tc>
        <w:tc>
          <w:tcPr>
            <w:tcW w:w="9053" w:type="dxa"/>
            <w:tcBorders/>
            <w:vAlign w:val="center"/>
          </w:tcPr>
          <w:p>
            <w:pPr>
              <w:pStyle w:val="TableContents"/>
              <w:bidi w:val="0"/>
              <w:spacing w:before="0" w:after="283"/>
              <w:jc w:val="both"/>
              <w:rPr/>
            </w:pPr>
            <w:r>
              <w:rPr/>
              <w:t>voting rights;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conversion terms;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rights and terms of redemption (including sinking fund provisions);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rights of the series in the event of liquidation, dissolution or winding up.</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All shares of preferred stock offered hereby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w:t>
      </w:r>
    </w:p>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We will set forth in a prospectus supplement relating to the series of preferred stock being offered the following items: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4"/>
        <w:gridCol w:w="278"/>
        <w:gridCol w:w="9843"/>
      </w:tblGrid>
      <w:tr>
        <w:trPr/>
        <w:tc>
          <w:tcPr>
            <w:tcW w:w="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Symbol" w:hAnsi="Symbol"/>
              </w:rPr>
            </w:pPr>
            <w:r>
              <w:rPr>
                <w:rFonts w:ascii="Symbol" w:hAnsi="Symbol"/>
              </w:rPr>
              <w:t>·</w:t>
            </w:r>
          </w:p>
        </w:tc>
        <w:tc>
          <w:tcPr>
            <w:tcW w:w="9843" w:type="dxa"/>
            <w:tcBorders/>
            <w:vAlign w:val="center"/>
          </w:tcPr>
          <w:p>
            <w:pPr>
              <w:pStyle w:val="TableContents"/>
              <w:bidi w:val="0"/>
              <w:spacing w:before="0" w:after="283"/>
              <w:jc w:val="both"/>
              <w:rPr/>
            </w:pPr>
            <w:r>
              <w:rPr/>
              <w:t>the title and stated value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the preferred stock offered, the liquidation preference per share and the offering price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dividend rate(s), period(s) and/or payment date(s) or method(s) of calculation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dividends are cumulative or non-cumulative and, if cumulative, the date from which dividends on the preferred stock will accumulate;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6" w:type="dxa"/>
            <w:tcBorders/>
            <w:vAlign w:val="center"/>
          </w:tcPr>
          <w:p>
            <w:pPr>
              <w:pStyle w:val="TableContents"/>
              <w:bidi w:val="0"/>
              <w:spacing w:before="0" w:after="283"/>
              <w:jc w:val="both"/>
              <w:rPr/>
            </w:pPr>
            <w:r>
              <w:rPr/>
              <w:t>the procedures for any auction and remarketing,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both"/>
              <w:rPr/>
            </w:pPr>
            <w:r>
              <w:rPr/>
              <w:t>the provisions for a sinking fund,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1"/>
        <w:gridCol w:w="200"/>
        <w:gridCol w:w="9944"/>
      </w:tblGrid>
      <w:tr>
        <w:trPr/>
        <w:tc>
          <w:tcPr>
            <w:tcW w:w="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4" w:type="dxa"/>
            <w:tcBorders/>
            <w:vAlign w:val="center"/>
          </w:tcPr>
          <w:p>
            <w:pPr>
              <w:pStyle w:val="TableContents"/>
              <w:bidi w:val="0"/>
              <w:spacing w:before="0" w:after="283"/>
              <w:jc w:val="both"/>
              <w:rPr/>
            </w:pPr>
            <w:r>
              <w:rPr/>
              <w:t>the provision for redemption, if applicable,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both"/>
              <w:rPr/>
            </w:pPr>
            <w:r>
              <w:rPr/>
              <w:t>any listing of the preferred stock on any securities exchange;</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terms and conditions, if applicable, upon which the preferred stock will be convertible into common stock, including the conversion price (or manner of calculation) and conversion period;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1"/>
        <w:gridCol w:w="301"/>
        <w:gridCol w:w="9813"/>
      </w:tblGrid>
      <w:tr>
        <w:trPr/>
        <w:tc>
          <w:tcPr>
            <w:tcW w:w="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Symbol" w:hAnsi="Symbol"/>
              </w:rPr>
            </w:pPr>
            <w:r>
              <w:rPr>
                <w:rFonts w:ascii="Symbol" w:hAnsi="Symbol"/>
              </w:rPr>
              <w:t>·</w:t>
            </w:r>
          </w:p>
        </w:tc>
        <w:tc>
          <w:tcPr>
            <w:tcW w:w="9813" w:type="dxa"/>
            <w:tcBorders/>
            <w:vAlign w:val="center"/>
          </w:tcPr>
          <w:p>
            <w:pPr>
              <w:pStyle w:val="TableContents"/>
              <w:bidi w:val="0"/>
              <w:spacing w:before="0" w:after="283"/>
              <w:jc w:val="both"/>
              <w:rPr/>
            </w:pPr>
            <w:r>
              <w:rPr/>
              <w:t>voting rights, if any,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discussion of any material and/or special United States federal income tax considerations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relative ranking and preferences of the preferred stock as to dividend rights and rights upon the liquidation, dissolution or winding up of our affairs;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limitations on issuance of any class or series of preferred stock ranking senior to or on a parity with the class or series of preferred stock as to dividend rights and rights upon liquidation, dissolution or winding up of our affairs;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any other specific terms, preferences, rights, limitations or restrictions of the preferred stock.</w:t>
            </w:r>
          </w:p>
        </w:tc>
      </w:tr>
    </w:tbl>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The transfer agent and registrar for any series of preferred stock will be set forth in the applicable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Certificate of Incorporation and Bylaws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Our current Certificate of Incorporation authorizes the issuance of “blank check” preferred stock that could be issued by our Board of Directors to defend against a takeover attempt. See “Preferred Stock” above.</w:t>
      </w:r>
    </w:p>
    <w:p>
      <w:pPr>
        <w:pStyle w:val="TextBody"/>
        <w:bidi w:val="0"/>
        <w:spacing w:before="0" w:after="0"/>
        <w:ind w:left="0" w:right="0" w:firstLine="360"/>
        <w:jc w:val="both"/>
        <w:rPr/>
      </w:pPr>
      <w:r>
        <w:rPr/>
        <w:t> </w:t>
      </w:r>
    </w:p>
    <w:p>
      <w:pPr>
        <w:pStyle w:val="TextBody"/>
        <w:bidi w:val="0"/>
        <w:spacing w:before="0" w:after="0"/>
        <w:ind w:left="0" w:right="0" w:hanging="0"/>
        <w:jc w:val="center"/>
        <w:rPr>
          <w:b/>
          <w:sz w:val="20"/>
        </w:rPr>
      </w:pPr>
      <w:bookmarkStart w:id="8" w:name="a_007"/>
      <w:bookmarkEnd w:id="8"/>
      <w:r>
        <w:rPr>
          <w:b/>
          <w:sz w:val="20"/>
        </w:rPr>
        <w:t>DESCRIPTION OF WARRANTS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warrants for the purchase of our common stock or preferred stock, or a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description is a summary of the certain provisions of the units, and does not purport to be complete and is subject to, and qualified in its entirety by reference to, the provisions of the warrant agreement that will be filed with the SEC in connection with an offering of the warrants. The particular terms of any units offered by us will be described in the applicable prospectus supplement. To the extent the terms of the warrants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relating to a particular series of warrants to purchase our common stock or preferred stock will describe the terms of the warrants, including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0"/>
        <w:gridCol w:w="527"/>
        <w:gridCol w:w="9518"/>
      </w:tblGrid>
      <w:tr>
        <w:trPr/>
        <w:tc>
          <w:tcPr>
            <w:tcW w:w="16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rFonts w:ascii="Symbol" w:hAnsi="Symbol"/>
              </w:rPr>
            </w:pPr>
            <w:r>
              <w:rPr>
                <w:rFonts w:ascii="Symbol" w:hAnsi="Symbol"/>
              </w:rPr>
              <w:t>·</w:t>
            </w:r>
          </w:p>
        </w:tc>
        <w:tc>
          <w:tcPr>
            <w:tcW w:w="9518" w:type="dxa"/>
            <w:tcBorders/>
            <w:vAlign w:val="center"/>
          </w:tcPr>
          <w:p>
            <w:pPr>
              <w:pStyle w:val="TableContents"/>
              <w:bidi w:val="0"/>
              <w:spacing w:before="0" w:after="283"/>
              <w:jc w:val="both"/>
              <w:rPr/>
            </w:pPr>
            <w:r>
              <w:rPr/>
              <w:t>the title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the offering price for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3"/>
        <w:gridCol w:w="372"/>
        <w:gridCol w:w="9720"/>
      </w:tblGrid>
      <w:tr>
        <w:trPr/>
        <w:tc>
          <w:tcPr>
            <w:tcW w:w="1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Symbol" w:hAnsi="Symbol"/>
              </w:rPr>
            </w:pPr>
            <w:r>
              <w:rPr>
                <w:rFonts w:ascii="Symbol" w:hAnsi="Symbol"/>
              </w:rPr>
              <w:t>·</w:t>
            </w:r>
          </w:p>
        </w:tc>
        <w:tc>
          <w:tcPr>
            <w:tcW w:w="9720" w:type="dxa"/>
            <w:tcBorders/>
            <w:vAlign w:val="center"/>
          </w:tcPr>
          <w:p>
            <w:pPr>
              <w:pStyle w:val="TableContents"/>
              <w:bidi w:val="0"/>
              <w:spacing w:before="0" w:after="283"/>
              <w:jc w:val="both"/>
              <w:rPr/>
            </w:pPr>
            <w:r>
              <w:rPr/>
              <w:t>the aggregate number of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designation and terms of the common stock or preferred stock that may be purchased upon exercise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security;</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date from and after which the warrants and any securities issued with the warrants will be separately transferable;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common stock or preferred stock that may be purchased upon exercise of a warrant and the exercise price for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pPr>
            <w:r>
              <w:rPr/>
              <w:t>the dates on which the right to exercise the warrants shall commence and expire;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if applicable, the minimum or maximum amount of the warrants that may be exercised at any one time;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2" w:type="dxa"/>
            <w:tcBorders/>
            <w:vAlign w:val="center"/>
          </w:tcPr>
          <w:p>
            <w:pPr>
              <w:pStyle w:val="TableContents"/>
              <w:bidi w:val="0"/>
              <w:spacing w:before="0" w:after="283"/>
              <w:jc w:val="both"/>
              <w:rPr/>
            </w:pPr>
            <w:r>
              <w:rPr/>
              <w:t>if applicable, a discussion of material U.S. federal income tax considerations;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0"/>
        <w:gridCol w:w="263"/>
        <w:gridCol w:w="9862"/>
      </w:tblGrid>
      <w:tr>
        <w:trPr/>
        <w:tc>
          <w:tcPr>
            <w:tcW w:w="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rPr>
            </w:pPr>
            <w:r>
              <w:rPr>
                <w:rFonts w:ascii="Symbol" w:hAnsi="Symbol"/>
              </w:rPr>
              <w:t>·</w:t>
            </w:r>
          </w:p>
        </w:tc>
        <w:tc>
          <w:tcPr>
            <w:tcW w:w="9862" w:type="dxa"/>
            <w:tcBorders/>
            <w:vAlign w:val="center"/>
          </w:tcPr>
          <w:p>
            <w:pPr>
              <w:pStyle w:val="TableContents"/>
              <w:bidi w:val="0"/>
              <w:spacing w:before="0" w:after="283"/>
              <w:jc w:val="both"/>
              <w:rPr/>
            </w:pPr>
            <w:r>
              <w:rPr/>
              <w:t>the antidilution provisions of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Symbol" w:hAnsi="Symbol"/>
              </w:rPr>
            </w:pPr>
            <w:r>
              <w:rPr>
                <w:rFonts w:ascii="Symbol" w:hAnsi="Symbol"/>
              </w:rPr>
              <w:t>·</w:t>
            </w:r>
          </w:p>
        </w:tc>
        <w:tc>
          <w:tcPr>
            <w:tcW w:w="9951" w:type="dxa"/>
            <w:tcBorders/>
            <w:vAlign w:val="center"/>
          </w:tcPr>
          <w:p>
            <w:pPr>
              <w:pStyle w:val="TableContents"/>
              <w:bidi w:val="0"/>
              <w:spacing w:before="0" w:after="283"/>
              <w:jc w:val="both"/>
              <w:rPr/>
            </w:pPr>
            <w:r>
              <w:rPr/>
              <w:t>the redemption or call provisions, if any, applicable to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provisions with respect to holder’s right to require us to repurchase the warrants upon a change in control or similar event;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sz w:val="20"/>
              </w:rPr>
            </w:pPr>
            <w:r>
              <w:rPr>
                <w:sz w:val="20"/>
              </w:rPr>
              <w:t>any additional terms of the warrants, including procedures, and limitations relating to the exchange, exercise and settlement of the warrants.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Holders of equity warrants will not be entitled: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344"/>
        <w:gridCol w:w="9757"/>
      </w:tblGrid>
      <w:tr>
        <w:trPr/>
        <w:tc>
          <w:tcPr>
            <w:tcW w:w="1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Symbol" w:hAnsi="Symbol"/>
              </w:rPr>
            </w:pPr>
            <w:r>
              <w:rPr>
                <w:rFonts w:ascii="Symbol" w:hAnsi="Symbol"/>
              </w:rPr>
              <w:t>·</w:t>
            </w:r>
          </w:p>
        </w:tc>
        <w:tc>
          <w:tcPr>
            <w:tcW w:w="9757" w:type="dxa"/>
            <w:tcBorders/>
            <w:vAlign w:val="center"/>
          </w:tcPr>
          <w:p>
            <w:pPr>
              <w:pStyle w:val="TableContents"/>
              <w:bidi w:val="0"/>
              <w:spacing w:before="0" w:after="283"/>
              <w:jc w:val="left"/>
              <w:rPr/>
            </w:pPr>
            <w:r>
              <w:rPr/>
              <w:t>to vote, consent or receive dividends;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receive notice as stockholders with respect to any meeting of stockholders for the election of our directors or any other matter;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rPr>
            </w:pPr>
            <w:r>
              <w:rPr>
                <w:rFonts w:ascii="Symbol" w:hAnsi="Symbol"/>
              </w:rPr>
              <w:t>·</w:t>
            </w:r>
          </w:p>
        </w:tc>
        <w:tc>
          <w:tcPr>
            <w:tcW w:w="9880" w:type="dxa"/>
            <w:tcBorders/>
            <w:vAlign w:val="center"/>
          </w:tcPr>
          <w:p>
            <w:pPr>
              <w:pStyle w:val="TableContents"/>
              <w:bidi w:val="0"/>
              <w:spacing w:before="0" w:after="283"/>
              <w:jc w:val="left"/>
              <w:rPr/>
            </w:pPr>
            <w:r>
              <w:rPr/>
              <w:t>exercise any rights as stockholders of the Company.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bookmarkStart w:id="9" w:name="a_008"/>
      <w:bookmarkEnd w:id="9"/>
      <w:r>
        <w:rPr>
          <w:b/>
          <w:sz w:val="20"/>
        </w:rPr>
        <w:t>DESCRIPTION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General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6"/>
        <w:gridCol w:w="679"/>
        <w:gridCol w:w="9320"/>
      </w:tblGrid>
      <w:tr>
        <w:trPr/>
        <w:tc>
          <w:tcPr>
            <w:tcW w:w="2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rFonts w:ascii="Symbol" w:hAnsi="Symbol"/>
              </w:rPr>
            </w:pPr>
            <w:r>
              <w:rPr>
                <w:rFonts w:ascii="Symbol" w:hAnsi="Symbol"/>
              </w:rPr>
              <w:t>·</w:t>
            </w:r>
          </w:p>
        </w:tc>
        <w:tc>
          <w:tcPr>
            <w:tcW w:w="9320" w:type="dxa"/>
            <w:tcBorders/>
            <w:vAlign w:val="center"/>
          </w:tcPr>
          <w:p>
            <w:pPr>
              <w:pStyle w:val="TableContents"/>
              <w:bidi w:val="0"/>
              <w:spacing w:before="0" w:after="283"/>
              <w:jc w:val="both"/>
              <w:rPr/>
            </w:pPr>
            <w:r>
              <w:rPr/>
              <w:t>the offering price;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8"/>
        <w:gridCol w:w="1346"/>
        <w:gridCol w:w="8451"/>
      </w:tblGrid>
      <w:tr>
        <w:trPr/>
        <w:tc>
          <w:tcPr>
            <w:tcW w:w="40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rFonts w:ascii="Symbol" w:hAnsi="Symbol"/>
              </w:rPr>
            </w:pPr>
            <w:r>
              <w:rPr>
                <w:rFonts w:ascii="Symbol" w:hAnsi="Symbol"/>
              </w:rPr>
              <w:t>·</w:t>
            </w:r>
          </w:p>
        </w:tc>
        <w:tc>
          <w:tcPr>
            <w:tcW w:w="8451" w:type="dxa"/>
            <w:tcBorders/>
            <w:vAlign w:val="center"/>
          </w:tcPr>
          <w:p>
            <w:pPr>
              <w:pStyle w:val="TableContents"/>
              <w:bidi w:val="0"/>
              <w:spacing w:before="0" w:after="283"/>
              <w:jc w:val="both"/>
              <w:rPr/>
            </w:pPr>
            <w:r>
              <w:rPr/>
              <w:t>the title;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9"/>
        <w:gridCol w:w="292"/>
        <w:gridCol w:w="9824"/>
      </w:tblGrid>
      <w:tr>
        <w:trPr/>
        <w:tc>
          <w:tcPr>
            <w:tcW w:w="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4" w:type="dxa"/>
            <w:tcBorders/>
            <w:vAlign w:val="center"/>
          </w:tcPr>
          <w:p>
            <w:pPr>
              <w:pStyle w:val="TableContents"/>
              <w:bidi w:val="0"/>
              <w:spacing w:before="0" w:after="283"/>
              <w:jc w:val="both"/>
              <w:rPr/>
            </w:pPr>
            <w:r>
              <w:rPr/>
              <w:t>any limit on the aggregate principal amount;</w:t>
            </w:r>
          </w:p>
        </w:tc>
      </w:tr>
    </w:tbl>
    <w:p>
      <w:pPr>
        <w:pStyle w:val="TextBody"/>
        <w:bidi w:val="0"/>
        <w:spacing w:before="0" w:after="0"/>
        <w:ind w:left="774"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2"/>
        <w:gridCol w:w="10033"/>
      </w:tblGrid>
      <w:tr>
        <w:trPr/>
        <w:tc>
          <w:tcPr>
            <w:tcW w:w="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3" w:type="dxa"/>
            <w:tcBorders/>
            <w:vAlign w:val="center"/>
          </w:tcPr>
          <w:p>
            <w:pPr>
              <w:pStyle w:val="TableContents"/>
              <w:bidi w:val="0"/>
              <w:spacing w:before="0" w:after="283"/>
              <w:jc w:val="both"/>
              <w:rPr/>
            </w:pPr>
            <w:r>
              <w:rPr/>
              <w:t>the person who shall be entitled to receive interest, if other than the record holder on the record date;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4"/>
        <w:gridCol w:w="342"/>
        <w:gridCol w:w="9759"/>
      </w:tblGrid>
      <w:tr>
        <w:trPr/>
        <w:tc>
          <w:tcPr>
            <w:tcW w:w="1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Symbol" w:hAnsi="Symbol"/>
              </w:rPr>
            </w:pPr>
            <w:r>
              <w:rPr>
                <w:rFonts w:ascii="Symbol" w:hAnsi="Symbol"/>
              </w:rPr>
              <w:t>·</w:t>
            </w:r>
          </w:p>
        </w:tc>
        <w:tc>
          <w:tcPr>
            <w:tcW w:w="9759" w:type="dxa"/>
            <w:tcBorders/>
            <w:vAlign w:val="center"/>
          </w:tcPr>
          <w:p>
            <w:pPr>
              <w:pStyle w:val="TableContents"/>
              <w:bidi w:val="0"/>
              <w:spacing w:before="0" w:after="283"/>
              <w:jc w:val="both"/>
              <w:rPr/>
            </w:pPr>
            <w:r>
              <w:rPr/>
              <w:t>the date the principal will be payable;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interest rate, if any, the date interest will accrue, the interest payment dates and the regular record dates;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6"/>
        <w:gridCol w:w="317"/>
        <w:gridCol w:w="9792"/>
      </w:tblGrid>
      <w:tr>
        <w:trPr/>
        <w:tc>
          <w:tcPr>
            <w:tcW w:w="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Symbol" w:hAnsi="Symbol"/>
              </w:rPr>
            </w:pPr>
            <w:r>
              <w:rPr>
                <w:rFonts w:ascii="Symbol" w:hAnsi="Symbol"/>
              </w:rPr>
              <w:t>·</w:t>
            </w:r>
          </w:p>
        </w:tc>
        <w:tc>
          <w:tcPr>
            <w:tcW w:w="9792" w:type="dxa"/>
            <w:tcBorders/>
            <w:vAlign w:val="center"/>
          </w:tcPr>
          <w:p>
            <w:pPr>
              <w:pStyle w:val="TableContents"/>
              <w:bidi w:val="0"/>
              <w:spacing w:before="0" w:after="283"/>
              <w:jc w:val="both"/>
              <w:rPr/>
            </w:pPr>
            <w:r>
              <w:rPr/>
              <w:t>the place where payments may be made;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8"/>
        <w:gridCol w:w="260"/>
        <w:gridCol w:w="9867"/>
      </w:tblGrid>
      <w:tr>
        <w:trPr/>
        <w:tc>
          <w:tcPr>
            <w:tcW w:w="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7" w:type="dxa"/>
            <w:tcBorders/>
            <w:vAlign w:val="center"/>
          </w:tcPr>
          <w:p>
            <w:pPr>
              <w:pStyle w:val="TableContents"/>
              <w:bidi w:val="0"/>
              <w:spacing w:before="0" w:after="283"/>
              <w:jc w:val="both"/>
              <w:rPr/>
            </w:pPr>
            <w:r>
              <w:rPr/>
              <w:t>any mandatory or optional redemption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method for determining how the principal, premium, if any, or interest will be calculated by reference to an index or formula;</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U.S. currency, the currency or currency units in which principal, premium, if any, or interest will be payable and whether we or the holder may elect payment to be made in a different currency;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portion of the principal amount that will be payable upon acceleration of stated maturity, if other than the entire principal amount;</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defeasance provisions if different from those described below under “Satisfaction and Discharge; Defeasance”;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
        <w:gridCol w:w="323"/>
        <w:gridCol w:w="9784"/>
      </w:tblGrid>
      <w:tr>
        <w:trPr/>
        <w:tc>
          <w:tcPr>
            <w:tcW w:w="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Symbol" w:hAnsi="Symbol"/>
              </w:rPr>
            </w:pPr>
            <w:r>
              <w:rPr>
                <w:rFonts w:ascii="Symbol" w:hAnsi="Symbol"/>
              </w:rPr>
              <w:t>·</w:t>
            </w:r>
          </w:p>
        </w:tc>
        <w:tc>
          <w:tcPr>
            <w:tcW w:w="9784" w:type="dxa"/>
            <w:tcBorders/>
            <w:vAlign w:val="center"/>
          </w:tcPr>
          <w:p>
            <w:pPr>
              <w:pStyle w:val="TableContents"/>
              <w:bidi w:val="0"/>
              <w:spacing w:before="0" w:after="283"/>
              <w:jc w:val="both"/>
              <w:rPr/>
            </w:pPr>
            <w:r>
              <w:rPr/>
              <w:t>any conversion or exchange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obligation to redeem or purchase the debt securities pursuant to a sinking fund;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whether the debt securities will be issuable in the form of a global security;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0" w:type="dxa"/>
            <w:tcBorders/>
            <w:vAlign w:val="center"/>
          </w:tcPr>
          <w:p>
            <w:pPr>
              <w:pStyle w:val="TableContents"/>
              <w:bidi w:val="0"/>
              <w:spacing w:before="0" w:after="283"/>
              <w:jc w:val="both"/>
              <w:rPr/>
            </w:pPr>
            <w:r>
              <w:rPr/>
              <w:t>any subordination provisions, if different from those described below under “Subordination”;</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deletions of, or changes or additions to, the events of default or covenants;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rPr>
            </w:pPr>
            <w:r>
              <w:rPr>
                <w:rFonts w:ascii="Symbol" w:hAnsi="Symbol"/>
              </w:rPr>
              <w:t>·</w:t>
            </w:r>
          </w:p>
        </w:tc>
        <w:tc>
          <w:tcPr>
            <w:tcW w:w="9847" w:type="dxa"/>
            <w:tcBorders/>
            <w:vAlign w:val="center"/>
          </w:tcPr>
          <w:p>
            <w:pPr>
              <w:pStyle w:val="TableContents"/>
              <w:bidi w:val="0"/>
              <w:spacing w:before="0" w:after="283"/>
              <w:jc w:val="both"/>
              <w:rPr/>
            </w:pPr>
            <w:r>
              <w:rPr/>
              <w:t>any other specific terms of such debt securities.</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Exchange and Transfer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Debt securities may be transferred or exchanged at the office of the security registrar or at the office of any transfer agent designated by us.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We will not impose a service charge for any transfer or exchange, but we may require holders to pay any tax or other governmental charges associated with any transfer or exchange.</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 the event of any potential redemption of debt securities of any series, we will not be required to:</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issue, register the transfer of, or exchange, any debt security of that series during a period beginning at the opening of business 15 days before the day of mailing of a notice of redemption and ending at the close of business on the day of the mailing;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register the transfer of or exchange any debt security of that series selected for redemption, in whole or in part, except the unredeemed portion being redeemed in part.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Global Securities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debt securities of any series may be represented, in whole or in part, by one or more global securities. Each global security will: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pPr>
            <w:r>
              <w:rPr/>
              <w:t>be registered in the name of a depositary that we will identify in a prospectus supplement;</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0"/>
        <w:gridCol w:w="9931"/>
      </w:tblGrid>
      <w:tr>
        <w:trPr/>
        <w:tc>
          <w:tcPr>
            <w:tcW w:w="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both"/>
              <w:rPr/>
            </w:pPr>
            <w:r>
              <w:rPr/>
              <w:t>be deposited with the depositary or nominee or custodian;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4"/>
        <w:gridCol w:w="474"/>
        <w:gridCol w:w="9587"/>
      </w:tblGrid>
      <w:tr>
        <w:trPr/>
        <w:tc>
          <w:tcPr>
            <w:tcW w:w="1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Symbol" w:hAnsi="Symbol"/>
              </w:rPr>
            </w:pPr>
            <w:r>
              <w:rPr>
                <w:rFonts w:ascii="Symbol" w:hAnsi="Symbol"/>
              </w:rPr>
              <w:t>·</w:t>
            </w:r>
          </w:p>
        </w:tc>
        <w:tc>
          <w:tcPr>
            <w:tcW w:w="9587" w:type="dxa"/>
            <w:tcBorders/>
            <w:vAlign w:val="center"/>
          </w:tcPr>
          <w:p>
            <w:pPr>
              <w:pStyle w:val="TableContents"/>
              <w:bidi w:val="0"/>
              <w:spacing w:before="0" w:after="283"/>
              <w:jc w:val="both"/>
              <w:rPr/>
            </w:pPr>
            <w:r>
              <w:rPr/>
              <w:t>bear any required legends.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 global security may be exchanged in whole or in part for debt securities registered in the name of any person other than the depositary or any nominee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depositary has notified us that it is unwilling or unable to continue as depositary or has ceased to be qualified to act as depositary;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9"/>
        <w:gridCol w:w="360"/>
        <w:gridCol w:w="9736"/>
      </w:tblGrid>
      <w:tr>
        <w:trPr/>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Symbol" w:hAnsi="Symbol"/>
              </w:rPr>
            </w:pPr>
            <w:r>
              <w:rPr>
                <w:rFonts w:ascii="Symbol" w:hAnsi="Symbol"/>
              </w:rPr>
              <w:t>·</w:t>
            </w:r>
          </w:p>
        </w:tc>
        <w:tc>
          <w:tcPr>
            <w:tcW w:w="9736" w:type="dxa"/>
            <w:tcBorders/>
            <w:vAlign w:val="center"/>
          </w:tcPr>
          <w:p>
            <w:pPr>
              <w:pStyle w:val="TableContents"/>
              <w:bidi w:val="0"/>
              <w:spacing w:before="0" w:after="283"/>
              <w:jc w:val="both"/>
              <w:rPr/>
            </w:pPr>
            <w:r>
              <w:rPr/>
              <w:t>an event of default is continuing;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executes and delivers to the trustee an officers’ certificate stating that the global security is exchangeable.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pStyle w:val="TextBody"/>
        <w:bidi w:val="0"/>
        <w:spacing w:before="0" w:after="0"/>
        <w:ind w:left="0" w:right="0" w:hanging="0"/>
        <w:jc w:val="both"/>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695" w:type="dxa"/>
            <w:tcBorders/>
            <w:vAlign w:val="center"/>
          </w:tcPr>
          <w:p>
            <w:pPr>
              <w:pStyle w:val="TableContents"/>
              <w:bidi w:val="0"/>
              <w:spacing w:before="0" w:after="283"/>
              <w:jc w:val="both"/>
              <w:rPr/>
            </w:pPr>
            <w:r>
              <w:rPr/>
              <w:t>will not be entitled to have the debt securities registered in their names;</w:t>
            </w:r>
          </w:p>
        </w:tc>
      </w:tr>
    </w:tbl>
    <w:p>
      <w:pPr>
        <w:pStyle w:val="TextBody"/>
        <w:bidi w:val="0"/>
        <w:spacing w:before="0" w:after="0"/>
        <w:ind w:left="0" w:right="0" w:hanging="0"/>
        <w:jc w:val="both"/>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9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905" w:type="dxa"/>
            <w:tcBorders/>
            <w:vAlign w:val="center"/>
          </w:tcPr>
          <w:p>
            <w:pPr>
              <w:pStyle w:val="TableContents"/>
              <w:bidi w:val="0"/>
              <w:spacing w:before="0" w:after="283"/>
              <w:jc w:val="both"/>
              <w:rPr/>
            </w:pPr>
            <w:r>
              <w:rPr/>
              <w:t>will not be entitled to physical delivery of certificated debt securities; and</w:t>
            </w:r>
          </w:p>
        </w:tc>
      </w:tr>
    </w:tbl>
    <w:p>
      <w:pPr>
        <w:pStyle w:val="TextBody"/>
        <w:bidi w:val="0"/>
        <w:spacing w:before="0" w:after="0"/>
        <w:ind w:left="0" w:right="0" w:hanging="0"/>
        <w:jc w:val="both"/>
        <w:rPr/>
      </w:pPr>
      <w:r>
        <w:rPr/>
        <w:t> </w:t>
      </w:r>
    </w:p>
    <w:tbl>
      <w:tblPr>
        <w:tblW w:w="7825" w:type="dxa"/>
        <w:jc w:val="left"/>
        <w:tblInd w:w="0" w:type="dxa"/>
        <w:tblLayout w:type="fixed"/>
        <w:tblCellMar>
          <w:top w:w="0" w:type="dxa"/>
          <w:left w:w="0" w:type="dxa"/>
          <w:bottom w:w="0" w:type="dxa"/>
          <w:right w:w="0" w:type="dxa"/>
        </w:tblCellMar>
      </w:tblPr>
      <w:tblGrid>
        <w:gridCol w:w="75"/>
        <w:gridCol w:w="110"/>
        <w:gridCol w:w="76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640" w:type="dxa"/>
            <w:tcBorders/>
            <w:vAlign w:val="center"/>
          </w:tcPr>
          <w:p>
            <w:pPr>
              <w:pStyle w:val="TableContents"/>
              <w:bidi w:val="0"/>
              <w:spacing w:before="0" w:after="283"/>
              <w:jc w:val="both"/>
              <w:rPr/>
            </w:pPr>
            <w:r>
              <w:rPr/>
              <w:t>will not be considered to be holders of those debt securities under the indentures.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transfers and exchanges relating to beneficial interests in a global security will be subject to policies and procedures of the depositary.</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depositary policies and procedures may change from time to time. Neither we nor the trustee will have any responsibility or liability for the depositary’s or any participant’s records with respect to beneficial interests in a global security.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Payment and Paying Agent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moneys paid by us to a paying agent for payment on any debt security which remain unclaimed at the end of two years after such payment was due will be repaid to us. Thereafter, the holder may look only to us for such payment.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Consolidation, Merger and Sale of Assets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pPr>
            <w:r>
              <w:rPr/>
              <w:t>the successor, if any, is a U.S. corporation, limited liability company, partnership, trust or other entity;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both"/>
              <w:rPr/>
            </w:pPr>
            <w:r>
              <w:rPr/>
              <w:t>the successor assumes our obligations on the debt securities and under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immediately after giving effect to the transaction, no default or event of default shall have occurred and be continuing;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7"/>
        <w:gridCol w:w="9688"/>
      </w:tblGrid>
      <w:tr>
        <w:trPr/>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rFonts w:ascii="Symbol" w:hAnsi="Symbol"/>
              </w:rPr>
            </w:pPr>
            <w:r>
              <w:rPr>
                <w:rFonts w:ascii="Symbol" w:hAnsi="Symbol"/>
              </w:rPr>
              <w:t>·</w:t>
            </w:r>
          </w:p>
        </w:tc>
        <w:tc>
          <w:tcPr>
            <w:tcW w:w="9688" w:type="dxa"/>
            <w:tcBorders/>
            <w:vAlign w:val="center"/>
          </w:tcPr>
          <w:p>
            <w:pPr>
              <w:pStyle w:val="TableContents"/>
              <w:bidi w:val="0"/>
              <w:spacing w:before="0" w:after="283"/>
              <w:jc w:val="both"/>
              <w:rPr/>
            </w:pPr>
            <w:r>
              <w:rPr/>
              <w:t>certain other conditions are met.</w:t>
            </w:r>
          </w:p>
        </w:tc>
      </w:tr>
    </w:tbl>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Events of Default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we inform you otherwise in the prospectus supplement, the indenture will define an event of default with respect to any series of debt securities as one or more of the following events: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345"/>
        <w:gridCol w:w="9815"/>
      </w:tblGrid>
      <w:tr>
        <w:trPr/>
        <w:tc>
          <w:tcPr>
            <w:tcW w:w="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w:t>
            </w:r>
          </w:p>
        </w:tc>
        <w:tc>
          <w:tcPr>
            <w:tcW w:w="9815" w:type="dxa"/>
            <w:tcBorders/>
            <w:vAlign w:val="center"/>
          </w:tcPr>
          <w:p>
            <w:pPr>
              <w:pStyle w:val="TableContents"/>
              <w:bidi w:val="0"/>
              <w:spacing w:before="0" w:after="283"/>
              <w:jc w:val="both"/>
              <w:rPr/>
            </w:pPr>
            <w:r>
              <w:rPr/>
              <w:t>failure to pay principal of or any premium on any debt security of that series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364"/>
        <w:gridCol w:w="9794"/>
      </w:tblGrid>
      <w:tr>
        <w:trPr/>
        <w:tc>
          <w:tcPr>
            <w:tcW w:w="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(2)</w:t>
            </w:r>
          </w:p>
        </w:tc>
        <w:tc>
          <w:tcPr>
            <w:tcW w:w="9794" w:type="dxa"/>
            <w:tcBorders/>
            <w:vAlign w:val="center"/>
          </w:tcPr>
          <w:p>
            <w:pPr>
              <w:pStyle w:val="TableContents"/>
              <w:bidi w:val="0"/>
              <w:spacing w:before="0" w:after="283"/>
              <w:jc w:val="both"/>
              <w:rPr/>
            </w:pPr>
            <w:r>
              <w:rPr/>
              <w:t>failure to pay any interest on any debt security of that series for 30 days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0"/>
        <w:gridCol w:w="537"/>
        <w:gridCol w:w="9598"/>
      </w:tblGrid>
      <w:tr>
        <w:trPr/>
        <w:tc>
          <w:tcPr>
            <w:tcW w:w="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(3)</w:t>
            </w:r>
          </w:p>
        </w:tc>
        <w:tc>
          <w:tcPr>
            <w:tcW w:w="9598" w:type="dxa"/>
            <w:tcBorders/>
            <w:vAlign w:val="center"/>
          </w:tcPr>
          <w:p>
            <w:pPr>
              <w:pStyle w:val="TableContents"/>
              <w:bidi w:val="0"/>
              <w:spacing w:before="0" w:after="283"/>
              <w:jc w:val="both"/>
              <w:rPr/>
            </w:pPr>
            <w:r>
              <w:rPr/>
              <w:t>failure to deposit any sinking fund payment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(4)</w:t>
            </w:r>
          </w:p>
        </w:tc>
        <w:tc>
          <w:tcPr>
            <w:tcW w:w="9894" w:type="dxa"/>
            <w:tcBorders/>
            <w:vAlign w:val="center"/>
          </w:tcPr>
          <w:p>
            <w:pPr>
              <w:pStyle w:val="TableContents"/>
              <w:bidi w:val="0"/>
              <w:spacing w:before="0" w:after="283"/>
              <w:jc w:val="both"/>
              <w:rPr/>
            </w:pPr>
            <w:r>
              <w:rPr/>
              <w:t>failure to perform any other covenant in the indenture continued for 90 days after being given the notice required in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583"/>
        <w:gridCol w:w="9546"/>
      </w:tblGrid>
      <w:tr>
        <w:trPr/>
        <w:tc>
          <w:tcPr>
            <w:tcW w:w="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pPr>
            <w:r>
              <w:rPr/>
              <w:t>(5)</w:t>
            </w:r>
          </w:p>
        </w:tc>
        <w:tc>
          <w:tcPr>
            <w:tcW w:w="9546" w:type="dxa"/>
            <w:tcBorders/>
            <w:vAlign w:val="center"/>
          </w:tcPr>
          <w:p>
            <w:pPr>
              <w:pStyle w:val="TableContents"/>
              <w:bidi w:val="0"/>
              <w:spacing w:before="0" w:after="283"/>
              <w:jc w:val="both"/>
              <w:rPr/>
            </w:pPr>
            <w:r>
              <w:rPr/>
              <w:t>our bankruptcy, insolvency or reorganization;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453"/>
        <w:gridCol w:w="9693"/>
      </w:tblGrid>
      <w:tr>
        <w:trPr/>
        <w:tc>
          <w:tcPr>
            <w:tcW w:w="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(6)</w:t>
            </w:r>
          </w:p>
        </w:tc>
        <w:tc>
          <w:tcPr>
            <w:tcW w:w="9693" w:type="dxa"/>
            <w:tcBorders/>
            <w:vAlign w:val="center"/>
          </w:tcPr>
          <w:p>
            <w:pPr>
              <w:pStyle w:val="TableContents"/>
              <w:bidi w:val="0"/>
              <w:spacing w:before="0" w:after="283"/>
              <w:jc w:val="both"/>
              <w:rPr/>
            </w:pPr>
            <w:r>
              <w:rPr/>
              <w:t>any other event of default specified in the prospectus supplement.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0" w:right="0" w:hanging="0"/>
        <w:jc w:val="both"/>
        <w:rPr/>
      </w:pPr>
      <w:r>
        <w:rPr/>
        <w:t> </w:t>
      </w:r>
    </w:p>
    <w:p>
      <w:pPr>
        <w:pStyle w:val="TextBody"/>
        <w:bidi w:val="0"/>
        <w:spacing w:before="0" w:after="0"/>
        <w:ind w:left="0" w:right="0" w:hanging="0"/>
        <w:jc w:val="both"/>
        <w:rPr>
          <w:sz w:val="20"/>
        </w:rPr>
      </w:pPr>
      <w:r>
        <w:rPr>
          <w:sz w:val="20"/>
        </w:rPr>
        <w:t>An event of default of one series of debt securities is not necessarily an event of default for any other series of debt securities.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holder will not have any right to institute any proceeding under the indentures, or for the appointment of a receiver or a trustee, or for any other remedy under the indentures,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pPr>
            <w:r>
              <w:rPr/>
              <w:t>(1)</w:t>
            </w:r>
          </w:p>
        </w:tc>
        <w:tc>
          <w:tcPr>
            <w:tcW w:w="9861" w:type="dxa"/>
            <w:tcBorders/>
            <w:vAlign w:val="center"/>
          </w:tcPr>
          <w:p>
            <w:pPr>
              <w:pStyle w:val="TableContents"/>
              <w:bidi w:val="0"/>
              <w:spacing w:before="0" w:after="283"/>
              <w:jc w:val="both"/>
              <w:rPr/>
            </w:pPr>
            <w:r>
              <w:rPr/>
              <w:t>the holder has previously given to the trustee written notice of a continuing event of default with respect to the debt securities of that series;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(2)</w:t>
            </w:r>
          </w:p>
        </w:tc>
        <w:tc>
          <w:tcPr>
            <w:tcW w:w="9882" w:type="dxa"/>
            <w:tcBorders/>
            <w:vAlign w:val="center"/>
          </w:tcPr>
          <w:p>
            <w:pPr>
              <w:pStyle w:val="TableContents"/>
              <w:bidi w:val="0"/>
              <w:spacing w:before="0" w:after="283"/>
              <w:jc w:val="both"/>
              <w:rPr/>
            </w:pPr>
            <w:r>
              <w:rPr/>
              <w:t>the holders of at least 25% in aggregate principal amount of the outstanding debt securities of that series have made a written request and have offered reasonable indemnity to the trustee to institute the proceeding;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both"/>
              <w:rPr/>
            </w:pPr>
            <w:r>
              <w:rPr/>
              <w:t> </w:t>
            </w:r>
          </w:p>
        </w:tc>
        <w:tc>
          <w:tcPr>
            <w:tcW w:w="242" w:type="dxa"/>
            <w:tcBorders/>
            <w:vAlign w:val="center"/>
          </w:tcPr>
          <w:p>
            <w:pPr>
              <w:pStyle w:val="TableContents"/>
              <w:bidi w:val="0"/>
              <w:spacing w:before="0" w:after="283"/>
              <w:jc w:val="both"/>
              <w:rPr/>
            </w:pPr>
            <w:r>
              <w:rPr/>
              <w:t>(3)</w:t>
            </w:r>
          </w:p>
        </w:tc>
        <w:tc>
          <w:tcPr>
            <w:tcW w:w="9888" w:type="dxa"/>
            <w:tcBorders/>
            <w:vAlign w:val="center"/>
          </w:tcPr>
          <w:p>
            <w:pPr>
              <w:pStyle w:val="TableContents"/>
              <w:bidi w:val="0"/>
              <w:spacing w:before="0" w:after="283"/>
              <w:jc w:val="both"/>
              <w:rPr/>
            </w:pPr>
            <w:r>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may, however, sue to enforce the payment of principal or interest on any debt security on or after the due date without following the procedures listed in (1) through (3) above.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Modification and Waiver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However, neither we nor the trustee may make any amendment or waiver without the consent of the holder of each outstanding security of that series affected by the amendment or waiver if such amendment or waiver would, among other things:</w:t>
      </w:r>
    </w:p>
    <w:p>
      <w:pPr>
        <w:pStyle w:val="TextBody"/>
        <w:bidi w:val="0"/>
        <w:spacing w:before="0" w:after="0"/>
        <w:ind w:left="0" w:right="0" w:hanging="0"/>
        <w:jc w:val="both"/>
        <w:rPr/>
      </w:pPr>
      <w:r>
        <w:rPr/>
        <w:t> </w:t>
      </w:r>
    </w:p>
    <w:tbl>
      <w:tblPr>
        <w:tblW w:w="9805" w:type="dxa"/>
        <w:jc w:val="left"/>
        <w:tblInd w:w="0" w:type="dxa"/>
        <w:tblLayout w:type="fixed"/>
        <w:tblCellMar>
          <w:top w:w="0" w:type="dxa"/>
          <w:left w:w="0" w:type="dxa"/>
          <w:bottom w:w="0" w:type="dxa"/>
          <w:right w:w="0" w:type="dxa"/>
        </w:tblCellMar>
      </w:tblPr>
      <w:tblGrid>
        <w:gridCol w:w="75"/>
        <w:gridCol w:w="110"/>
        <w:gridCol w:w="96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620" w:type="dxa"/>
            <w:tcBorders/>
            <w:vAlign w:val="center"/>
          </w:tcPr>
          <w:p>
            <w:pPr>
              <w:pStyle w:val="TableContents"/>
              <w:bidi w:val="0"/>
              <w:spacing w:before="0" w:after="283"/>
              <w:jc w:val="both"/>
              <w:rPr/>
            </w:pPr>
            <w:r>
              <w:rPr/>
              <w:t>change the amount of securities whose holders must consent to an amendment, supplement or waiver;</w:t>
            </w:r>
          </w:p>
        </w:tc>
      </w:tr>
    </w:tbl>
    <w:p>
      <w:pPr>
        <w:pStyle w:val="TextBody"/>
        <w:bidi w:val="0"/>
        <w:spacing w:before="0" w:after="0"/>
        <w:ind w:left="0" w:right="0" w:hanging="0"/>
        <w:jc w:val="both"/>
        <w:rPr/>
      </w:pPr>
      <w:r>
        <w:rPr/>
        <w:t> </w:t>
      </w:r>
    </w:p>
    <w:tbl>
      <w:tblPr>
        <w:tblW w:w="4660" w:type="dxa"/>
        <w:jc w:val="left"/>
        <w:tblInd w:w="0" w:type="dxa"/>
        <w:tblLayout w:type="fixed"/>
        <w:tblCellMar>
          <w:top w:w="0" w:type="dxa"/>
          <w:left w:w="0" w:type="dxa"/>
          <w:bottom w:w="0" w:type="dxa"/>
          <w:right w:w="0" w:type="dxa"/>
        </w:tblCellMar>
      </w:tblPr>
      <w:tblGrid>
        <w:gridCol w:w="75"/>
        <w:gridCol w:w="110"/>
        <w:gridCol w:w="44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t>change the stated maturity of any debt security;</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reduce the principal on any debt security or reduce the amount of, or postpone the date fixed for, the payment of any sinking fund;</w:t>
            </w:r>
          </w:p>
        </w:tc>
      </w:tr>
    </w:tbl>
    <w:p>
      <w:pPr>
        <w:pStyle w:val="TextBody"/>
        <w:bidi w:val="0"/>
        <w:spacing w:before="0" w:after="0"/>
        <w:ind w:left="0" w:right="0" w:hanging="0"/>
        <w:jc w:val="both"/>
        <w:rPr/>
      </w:pPr>
      <w:r>
        <w:rPr/>
        <w:t> </w:t>
      </w:r>
    </w:p>
    <w:tbl>
      <w:tblPr>
        <w:tblW w:w="8215" w:type="dxa"/>
        <w:jc w:val="left"/>
        <w:tblInd w:w="0" w:type="dxa"/>
        <w:tblLayout w:type="fixed"/>
        <w:tblCellMar>
          <w:top w:w="0" w:type="dxa"/>
          <w:left w:w="0" w:type="dxa"/>
          <w:bottom w:w="0" w:type="dxa"/>
          <w:right w:w="0" w:type="dxa"/>
        </w:tblCellMar>
      </w:tblPr>
      <w:tblGrid>
        <w:gridCol w:w="75"/>
        <w:gridCol w:w="110"/>
        <w:gridCol w:w="80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pPr>
            <w:r>
              <w:rPr/>
              <w:t>reduce the principal of an original issue discount security on acceleration of maturity;</w:t>
            </w:r>
          </w:p>
        </w:tc>
      </w:tr>
    </w:tbl>
    <w:p>
      <w:pPr>
        <w:pStyle w:val="TextBody"/>
        <w:bidi w:val="0"/>
        <w:spacing w:before="0" w:after="0"/>
        <w:ind w:left="0" w:right="0" w:hanging="0"/>
        <w:jc w:val="both"/>
        <w:rPr/>
      </w:pPr>
      <w:r>
        <w:rPr/>
        <w:t> </w:t>
      </w:r>
    </w:p>
    <w:tbl>
      <w:tblPr>
        <w:tblW w:w="8560" w:type="dxa"/>
        <w:jc w:val="left"/>
        <w:tblInd w:w="0" w:type="dxa"/>
        <w:tblLayout w:type="fixed"/>
        <w:tblCellMar>
          <w:top w:w="0" w:type="dxa"/>
          <w:left w:w="0" w:type="dxa"/>
          <w:bottom w:w="0" w:type="dxa"/>
          <w:right w:w="0" w:type="dxa"/>
        </w:tblCellMar>
      </w:tblPr>
      <w:tblGrid>
        <w:gridCol w:w="75"/>
        <w:gridCol w:w="110"/>
        <w:gridCol w:w="83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375" w:type="dxa"/>
            <w:tcBorders/>
            <w:vAlign w:val="center"/>
          </w:tcPr>
          <w:p>
            <w:pPr>
              <w:pStyle w:val="TableContents"/>
              <w:bidi w:val="0"/>
              <w:spacing w:before="0" w:after="283"/>
              <w:jc w:val="both"/>
              <w:rPr/>
            </w:pPr>
            <w:r>
              <w:rPr/>
              <w:t>reduce the rate of interest or extend the time for payment of interest on any debt security;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make a principal or interest payment on any debt security in any currency other than that stated in the debt security;</w:t>
            </w:r>
          </w:p>
        </w:tc>
      </w:tr>
    </w:tbl>
    <w:p>
      <w:pPr>
        <w:pStyle w:val="TextBody"/>
        <w:bidi w:val="0"/>
        <w:spacing w:before="0" w:after="0"/>
        <w:ind w:left="0" w:right="0" w:hanging="0"/>
        <w:jc w:val="both"/>
        <w:rPr/>
      </w:pPr>
      <w:r>
        <w:rPr/>
        <w:t> </w:t>
      </w:r>
    </w:p>
    <w:tbl>
      <w:tblPr>
        <w:tblW w:w="8095" w:type="dxa"/>
        <w:jc w:val="left"/>
        <w:tblInd w:w="0" w:type="dxa"/>
        <w:tblLayout w:type="fixed"/>
        <w:tblCellMar>
          <w:top w:w="0" w:type="dxa"/>
          <w:left w:w="0" w:type="dxa"/>
          <w:bottom w:w="0" w:type="dxa"/>
          <w:right w:w="0" w:type="dxa"/>
        </w:tblCellMar>
      </w:tblPr>
      <w:tblGrid>
        <w:gridCol w:w="75"/>
        <w:gridCol w:w="110"/>
        <w:gridCol w:w="79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pPr>
            <w:r>
              <w:rPr/>
              <w:t>impair the right to enforce any payment after the stated maturity or redemption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waive any default or event of default in payment of the principal of, premium or interest on any debt security (except certain rescissions of acceleration); or</w:t>
            </w:r>
          </w:p>
        </w:tc>
      </w:tr>
    </w:tbl>
    <w:p>
      <w:pPr>
        <w:pStyle w:val="TextBody"/>
        <w:bidi w:val="0"/>
        <w:spacing w:before="0" w:after="0"/>
        <w:ind w:left="0" w:right="0" w:hanging="0"/>
        <w:jc w:val="both"/>
        <w:rPr/>
      </w:pPr>
      <w:r>
        <w:rPr/>
        <w:t> </w:t>
      </w:r>
    </w:p>
    <w:tbl>
      <w:tblPr>
        <w:tblW w:w="9085" w:type="dxa"/>
        <w:jc w:val="left"/>
        <w:tblInd w:w="0" w:type="dxa"/>
        <w:tblLayout w:type="fixed"/>
        <w:tblCellMar>
          <w:top w:w="0" w:type="dxa"/>
          <w:left w:w="0" w:type="dxa"/>
          <w:bottom w:w="0" w:type="dxa"/>
          <w:right w:w="0" w:type="dxa"/>
        </w:tblCellMar>
      </w:tblPr>
      <w:tblGrid>
        <w:gridCol w:w="75"/>
        <w:gridCol w:w="110"/>
        <w:gridCol w:w="89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waive a redemption payment or modify any of the redemption provisions of any debt security;</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Notwithstanding the preceding, without the consent of any holder of outstanding securities, we and the trustee may amend or supplement the indentures: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issuance of and establish the form and terms and conditions of debt securities of any series as permitted by the indenture;</w:t>
            </w:r>
          </w:p>
        </w:tc>
      </w:tr>
    </w:tbl>
    <w:p>
      <w:pPr>
        <w:pStyle w:val="TextBody"/>
        <w:bidi w:val="0"/>
        <w:spacing w:before="0" w:after="0"/>
        <w:ind w:left="0" w:right="0" w:hanging="0"/>
        <w:jc w:val="both"/>
        <w:rPr/>
      </w:pPr>
      <w:r>
        <w:rPr/>
        <w:t> </w:t>
      </w:r>
    </w:p>
    <w:tbl>
      <w:tblPr>
        <w:tblW w:w="8470" w:type="dxa"/>
        <w:jc w:val="left"/>
        <w:tblInd w:w="0" w:type="dxa"/>
        <w:tblLayout w:type="fixed"/>
        <w:tblCellMar>
          <w:top w:w="0" w:type="dxa"/>
          <w:left w:w="0" w:type="dxa"/>
          <w:bottom w:w="0" w:type="dxa"/>
          <w:right w:w="0" w:type="dxa"/>
        </w:tblCellMar>
      </w:tblPr>
      <w:tblGrid>
        <w:gridCol w:w="75"/>
        <w:gridCol w:w="110"/>
        <w:gridCol w:w="82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285" w:type="dxa"/>
            <w:tcBorders/>
            <w:vAlign w:val="center"/>
          </w:tcPr>
          <w:p>
            <w:pPr>
              <w:pStyle w:val="TableContents"/>
              <w:bidi w:val="0"/>
              <w:spacing w:before="0" w:after="283"/>
              <w:jc w:val="both"/>
              <w:rPr/>
            </w:pPr>
            <w:r>
              <w:rPr/>
              <w:t>to provide for uncertificated securities in addition to or in place of certificated securities;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assumption of our obligations to holders of any debt security in the case of a merger, consolidation, transfer or sale of all or substantially all of our assets;</w:t>
            </w:r>
          </w:p>
        </w:tc>
      </w:tr>
    </w:tbl>
    <w:p>
      <w:pPr>
        <w:pStyle w:val="TextBody"/>
        <w:bidi w:val="0"/>
        <w:spacing w:before="0" w:after="0"/>
        <w:ind w:left="0" w:right="0" w:hanging="0"/>
        <w:jc w:val="both"/>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99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to make any change that does not adversely affect the legal rights under the indenture of any such holder;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comply with requirements of the Commission in order to effect or maintain the qualification of an indenture under the Trust Indenture Act;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consent of holders is not necessary under the indentures to approve the particular form of any proposed amendment. It is sufficient if such consent approves the substance of the proposed amendment.</w:t>
      </w:r>
    </w:p>
    <w:p>
      <w:pPr>
        <w:pStyle w:val="TextBody"/>
        <w:bidi w:val="0"/>
        <w:spacing w:before="0" w:after="0"/>
        <w:ind w:left="0" w:right="0" w:firstLine="720"/>
        <w:jc w:val="both"/>
        <w:rPr/>
      </w:pPr>
      <w:r>
        <w:rPr/>
        <w:t> </w:t>
      </w:r>
    </w:p>
    <w:p>
      <w:pPr>
        <w:pStyle w:val="TextBody"/>
        <w:bidi w:val="0"/>
        <w:spacing w:before="0" w:after="0"/>
        <w:ind w:left="0" w:right="0" w:hanging="0"/>
        <w:jc w:val="both"/>
        <w:rPr>
          <w:b/>
          <w:sz w:val="20"/>
        </w:rPr>
      </w:pPr>
      <w:r>
        <w:rPr>
          <w:b/>
          <w:sz w:val="20"/>
        </w:rPr>
        <w:t xml:space="preserve">Satisfaction and Discharge; Defeasance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pStyle w:val="TextBody"/>
        <w:bidi w:val="0"/>
        <w:spacing w:before="0" w:after="0"/>
        <w:ind w:left="0" w:right="0" w:hanging="0"/>
        <w:jc w:val="both"/>
        <w:rPr/>
      </w:pPr>
      <w:r>
        <w:rPr/>
        <w:t> </w:t>
      </w:r>
    </w:p>
    <w:p>
      <w:pPr>
        <w:pStyle w:val="TextBody"/>
        <w:bidi w:val="0"/>
        <w:spacing w:before="0" w:after="0"/>
        <w:ind w:left="0" w:right="0" w:firstLine="342"/>
        <w:jc w:val="both"/>
        <w:rPr>
          <w:sz w:val="20"/>
        </w:rPr>
      </w:pPr>
      <w:r>
        <w:rPr>
          <w:sz w:val="20"/>
        </w:rPr>
        <w:t>Each indenture contains a provision that permits us to elect: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discharged from all of our obligations, subject to limited exceptions, with respect to any series of debt securities then outstanding; and/or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released from our obligations under the following covenants and from the consequences of an event of default resulting from a breach of certain covenants, including covenants as to payment of taxes and maintenance of corporate existence.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Notices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Notices to holders will be given by mail to the addresses of the holders in the security register.</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 xml:space="preserve">Governing Law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and the debt securities will be governed by, and construed under, the law of the State of New York.</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Regarding the Trustee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limits the right of the trustee, should it become a creditor of us, to obtain payment of claims or secure its claims.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Subordination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not make any payment on subordinated debt securities, including upon redemption at the option of the holder of any subordinated debt securities or at our option, if:</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in the payment of the principal, premium, if any, interest, rent or other obligations in respect of designated senior indebtedness occurs and is continuing beyond any applicable period of grace (called a “payment default”);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not prohibited from incurring debt, including senior indebtedness, under the indenture. We may from time to time incur additional debt, including senior indebtedness.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Certain Definitions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indebtedness” means: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(2) all reimbursement obligations and other liabilities with respect to letters of credit, bank guarantees or bankers’ acceptances;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(3) all obligations and liabilities in respect of leases required in conformity with generally accepted accounting principles to be accounted for as capitalized lease obligations on our balance sheet;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(4) 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(5) all obligations with respect to an interest rate or other swap, cap or collar agreement or other similar instrument or agreement or foreign currency hedge, exchange, purchase or other similar instrument or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(6) 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(7) any indebtedness or other obligations described in (1) through (6) above secured by any mortgage, pledge, lien or other encumbrance existing on property which is owned or held by us; and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(8) any and all refinancings, replacements, deferrals, renewals, extensions and refundings of, or amendments, modifications or supplements to, any indebtedness, obligation or liability of the kind described in clauses (1) through (7)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pStyle w:val="TextBody"/>
        <w:bidi w:val="0"/>
        <w:spacing w:before="0" w:after="0"/>
        <w:ind w:left="0" w:right="0" w:firstLine="342"/>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indebtedness that expressly provides that it shall not be senior in right of payment to subordinated debt securities or expressly provides that it is on the same basis or junior to subordinated debt securities;</w:t>
            </w:r>
          </w:p>
        </w:tc>
      </w:tr>
    </w:tbl>
    <w:p>
      <w:pPr>
        <w:pStyle w:val="TextBody"/>
        <w:bidi w:val="0"/>
        <w:spacing w:before="0" w:after="0"/>
        <w:ind w:left="0" w:right="0" w:hanging="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t>our indebtedness to any of our majority-owned subsidiaries; and</w:t>
            </w:r>
          </w:p>
        </w:tc>
      </w:tr>
    </w:tbl>
    <w:p>
      <w:pPr>
        <w:pStyle w:val="TextBody"/>
        <w:bidi w:val="0"/>
        <w:spacing w:before="0" w:after="0"/>
        <w:ind w:left="0" w:right="0" w:hanging="0"/>
        <w:jc w:val="left"/>
        <w:rPr/>
      </w:pPr>
      <w:r>
        <w:rPr/>
        <w:t> </w:t>
      </w:r>
    </w:p>
    <w:tbl>
      <w:tblPr>
        <w:tblW w:w="2890" w:type="dxa"/>
        <w:jc w:val="left"/>
        <w:tblInd w:w="0" w:type="dxa"/>
        <w:tblLayout w:type="fixed"/>
        <w:tblCellMar>
          <w:top w:w="0" w:type="dxa"/>
          <w:left w:w="0" w:type="dxa"/>
          <w:bottom w:w="0" w:type="dxa"/>
          <w:right w:w="0" w:type="dxa"/>
        </w:tblCellMar>
      </w:tblPr>
      <w:tblGrid>
        <w:gridCol w:w="75"/>
        <w:gridCol w:w="11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pPr>
            <w:r>
              <w:rPr/>
              <w:t>subordinated debt securities.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0" w:name="a_009"/>
      <w:bookmarkEnd w:id="10"/>
      <w:r>
        <w:rPr>
          <w:b/>
          <w:sz w:val="20"/>
        </w:rPr>
        <w:t>DESCRIPTION OF 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description is a summary of the certain provisions of the units, and does not purport to be complete and is subject to, and qualified in its entirety by reference to, the provisions of the unit agreement that will be filed with the SEC in connection with an offering of the units. The particular terms of any units offered by us will be described in the applicable prospectus supplement. To the extent the terms of the units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units consisting of one or more of the other securities described in this prospectus or the applicable prospectus supplement in any combination in such amounts and in such numerous distinct series as we determine.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Each unit will be issued so that the holder of the unit is also the holder of each security included in the unit. Thus, the holder of a unit will have the rights and obligations of a holder of each included security.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units described in the applicable prospectus supplement may include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the terms of any unit agreement governing the units;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1" w:name="a_010"/>
      <w:bookmarkEnd w:id="11"/>
      <w:r>
        <w:rPr>
          <w:b/>
          <w:sz w:val="20"/>
        </w:rPr>
        <w:t>PLAN OF DISTRIBUTION</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We may sell the securities offered by this prospectus in any one or more of the following ways from time to time: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directly to investors, including through a specific bidding, auction or other process;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38"/>
        <w:gridCol w:w="457"/>
        <w:gridCol w:w="9610"/>
      </w:tblGrid>
      <w:tr>
        <w:trPr/>
        <w:tc>
          <w:tcPr>
            <w:tcW w:w="1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rFonts w:ascii="Symbol" w:hAnsi="Symbol"/>
              </w:rPr>
            </w:pPr>
            <w:r>
              <w:rPr>
                <w:rFonts w:ascii="Symbol" w:hAnsi="Symbol"/>
              </w:rPr>
              <w:t>·</w:t>
            </w:r>
          </w:p>
        </w:tc>
        <w:tc>
          <w:tcPr>
            <w:tcW w:w="9610" w:type="dxa"/>
            <w:tcBorders/>
            <w:vAlign w:val="center"/>
          </w:tcPr>
          <w:p>
            <w:pPr>
              <w:pStyle w:val="TableContents"/>
              <w:bidi w:val="0"/>
              <w:spacing w:before="0" w:after="283"/>
              <w:jc w:val="both"/>
              <w:rPr/>
            </w:pPr>
            <w:r>
              <w:rPr/>
              <w:t>to investors through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directly to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5"/>
        <w:gridCol w:w="9690"/>
      </w:tblGrid>
      <w:tr>
        <w:trPr/>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Symbol" w:hAnsi="Symbol"/>
              </w:rPr>
            </w:pPr>
            <w:r>
              <w:rPr>
                <w:rFonts w:ascii="Symbol" w:hAnsi="Symbol"/>
              </w:rPr>
              <w:t>·</w:t>
            </w:r>
          </w:p>
        </w:tc>
        <w:tc>
          <w:tcPr>
            <w:tcW w:w="9690" w:type="dxa"/>
            <w:tcBorders/>
            <w:vAlign w:val="center"/>
          </w:tcPr>
          <w:p>
            <w:pPr>
              <w:pStyle w:val="TableContents"/>
              <w:bidi w:val="0"/>
              <w:spacing w:before="0" w:after="283"/>
              <w:jc w:val="both"/>
              <w:rPr/>
            </w:pPr>
            <w:r>
              <w:rPr/>
              <w:t>to or through brokers or dealers;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t>to the public through underwriting syndicates led by one or more managing underwriters;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both"/>
              <w:rPr/>
            </w:pPr>
            <w:r>
              <w:rPr/>
              <w:t>to one or more underwriters acting alone for resale to investors or to the public;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251"/>
        <w:gridCol w:w="9878"/>
      </w:tblGrid>
      <w:tr>
        <w:trPr/>
        <w:tc>
          <w:tcPr>
            <w:tcW w:w="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Symbol" w:hAnsi="Symbol"/>
              </w:rPr>
            </w:pPr>
            <w:r>
              <w:rPr>
                <w:rFonts w:ascii="Symbol" w:hAnsi="Symbol"/>
              </w:rPr>
              <w:t>·</w:t>
            </w:r>
          </w:p>
        </w:tc>
        <w:tc>
          <w:tcPr>
            <w:tcW w:w="9878" w:type="dxa"/>
            <w:tcBorders/>
            <w:vAlign w:val="center"/>
          </w:tcPr>
          <w:p>
            <w:pPr>
              <w:pStyle w:val="TableContents"/>
              <w:bidi w:val="0"/>
              <w:spacing w:before="0" w:after="283"/>
              <w:jc w:val="both"/>
              <w:rPr/>
            </w:pPr>
            <w:r>
              <w:rPr/>
              <w:t>through a combination of any such methods of sale.</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sz w:val="20"/>
        </w:rPr>
      </w:pPr>
      <w:r>
        <w:rPr>
          <w:sz w:val="20"/>
        </w:rPr>
        <w:t>We may also sell the securities offered by this prospectus in “at the market offerings” within the meaning of Rule 415(a)(4) of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related to a particular offering will set forth the terms of the offering and the method of distribution and will identify any firms acting as underwriters, dealers or agents in connection with the offering, including: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10"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6" w:type="dxa"/>
            <w:tcBorders/>
            <w:vAlign w:val="center"/>
          </w:tcPr>
          <w:p>
            <w:pPr>
              <w:pStyle w:val="TableContents"/>
              <w:bidi w:val="0"/>
              <w:spacing w:before="0" w:after="283"/>
              <w:jc w:val="both"/>
              <w:rPr/>
            </w:pPr>
            <w:r>
              <w:rPr/>
              <w:t>the purchase price of the securities and the proceeds to us from the sale;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any over-allotment options under which the underwriters may purchase additional securities from us;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any underwriting discounts and other items constituting compensation to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3"/>
        <w:gridCol w:w="9562"/>
      </w:tblGrid>
      <w:tr>
        <w:trPr/>
        <w:tc>
          <w:tcPr>
            <w:tcW w:w="15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rFonts w:ascii="Symbol" w:hAnsi="Symbol"/>
              </w:rPr>
            </w:pPr>
            <w:r>
              <w:rPr>
                <w:rFonts w:ascii="Symbol" w:hAnsi="Symbol"/>
              </w:rPr>
              <w:t>·</w:t>
            </w:r>
          </w:p>
        </w:tc>
        <w:tc>
          <w:tcPr>
            <w:tcW w:w="9562" w:type="dxa"/>
            <w:tcBorders/>
            <w:vAlign w:val="center"/>
          </w:tcPr>
          <w:p>
            <w:pPr>
              <w:pStyle w:val="TableContents"/>
              <w:bidi w:val="0"/>
              <w:spacing w:before="0" w:after="283"/>
              <w:jc w:val="both"/>
              <w:rPr/>
            </w:pPr>
            <w:r>
              <w:rPr/>
              <w:t>any public offering price;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any discounts or concessions allowed or reallowed or paid to dealers;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securities exchange or market on which the securities offered in the prospectus supplement may be listed.</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Only those underwriters identified in such prospectus supplement are deemed to be underwriters in connection with the securities offered in the prospectus supplement. Any underwritten offering may be on a best efforts or a firm commitment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distribution of the securities may be effected from time to time in one or more transactions at a fixed price or prices, which may be changed, at varying prices determined at the time of sale, or at prices determined as the applicable prospectus supplement specifies. The securities may be sold through a rights offering, forward contracts or similar arrangements. In any distribution of subscription rights to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will provide in the applicable prospectus supplement information regarding any underwriting discounts or other compensation that we pay to underwriters or agents in connection with the securities offering, and any discounts, concessions or commissions which underwriters allow to dealers. Underwriters, dealers and agents participating in the securities distribution may be deemed to be underwriters, and any discounts and commissions they receive and any profit they realize on the sale of the securities may be deemed to be underwriting discounts and commissions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and their controlling persons, dealers and agents may be entitled, under agreements entered into with us, to indemnification against and contribution toward specific civil liabilities, including liabilities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specified in the related prospectus supplement, each series of securities will be a new issue with no established trading market, other than shares of our common stock, which are listed on The Nasdaq Capital Market. Any common stock sold pursuant to a prospectus supplement will be listed on The Nasdaq Capital Market, subject to compliance with applicable Nasdaq continued listing requirements. We may elect to list any series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bids or purchases made for the purpose of preventing or retarding a decline in the market price of the securities while an offering is in progress. 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These activities by the underwriters may stabilize, maintain or otherwise affect the market price of the securities. As a result, the price of the securities may be higher than the price that otherwise might exist in the open market. If these activities are commenced, they may be discontinued by the underwriters at any time. 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dealers or agents that participate in the offer of securities, or their affiliates or associates, may be customers of, have engaged or engage in transactions with, and perform services for, us or our affiliates in the ordinary course of business for which they may have received or receive customary fees and reimbursement of expenses.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12" w:name="a_011"/>
      <w:bookmarkEnd w:id="12"/>
      <w:r>
        <w:rPr>
          <w:b/>
          <w:sz w:val="20"/>
        </w:rPr>
        <w:t>LEGAL MATTERS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The validity of any securities offered from time to time by this prospectus and any related prospectus supplement will be passed upon by Lucosky Brookman LLP, Woodbridge, NJ. Any underwriters will also be advised about the validity of the securities and other legal matters by their own counsel, which will be named in the prospectus supplement.</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3" w:name="a_012"/>
      <w:bookmarkEnd w:id="13"/>
      <w:r>
        <w:rPr>
          <w:b/>
          <w:sz w:val="20"/>
        </w:rPr>
        <w:t>EXPERTS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consolidated financial statements of Axe Compute Inc. (the “Company”) as of December 31, 2025 and 2024 and for each of the years then ended, have been incorporated by reference herein and in the registration statement in reliance upon the report of KPMG LLP, independent registered public accounting firm, incorporated by reference herein, and upon the authority of said firm as experts in auditing and accounting.</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4" w:name="a_013"/>
      <w:bookmarkEnd w:id="14"/>
      <w:r>
        <w:rPr>
          <w:b/>
          <w:sz w:val="20"/>
        </w:rPr>
        <w:t>WHERE YOU CAN FIND MORE INFORMATION</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 xml:space="preserve">We file annual, quarterly and current reports, proxy statements and other information with the SEC. The SEC maintains a web site that contains reports, proxy and information statements and other information about issuers, such as us, who file electronically with the SEC. The address of that website is </w:t>
      </w:r>
      <w:r>
        <w:rPr>
          <w:i/>
          <w:sz w:val="20"/>
        </w:rPr>
        <w:t>http://www.sec.gov</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Company’s website address is </w:t>
      </w:r>
      <w:r>
        <w:rPr>
          <w:i/>
          <w:sz w:val="20"/>
        </w:rPr>
        <w:t>https://axecompute.com/</w:t>
      </w:r>
      <w:r>
        <w:rPr>
          <w:sz w:val="20"/>
        </w:rPr>
        <w:t>. Information on the Company’s website, any subsection, page, or other subdivision of the Company’s website, or any website linked to by content on the Company’s website, is not part of this prospectus and you should not rely on that information unless that information is also in this prospectus or incorporated by reference in this prospectus.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prospectus supplement are part of a registration statement on Form S-3 under the Securities Act we filed with the SEC and do not contain all of the information set forth in the registration statement and the exhibits to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5" w:name="a_014"/>
      <w:bookmarkEnd w:id="15"/>
      <w:r>
        <w:rPr>
          <w:b/>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accompanying prospectus supplement incorporate by reference the documents set forth below that have previously been filed with the SEC: We incorporate by reference the documents listed below and any future filings we will make with the SEC under Section 13(a), 13(c), 14 or 15(d) of the Exchange Act (other than information furnished in Current Reports on Form 8-K filed under Item 2.02 or 7.01 of such form unless such form expressly provides to the contrary):</w:t>
      </w:r>
    </w:p>
    <w:p>
      <w:pPr>
        <w:pStyle w:val="TextBody"/>
        <w:bidi w:val="0"/>
        <w:spacing w:before="0" w:after="0"/>
        <w:ind w:left="0" w:right="0" w:hanging="0"/>
        <w:jc w:val="both"/>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9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 xml:space="preserve">Our Annual Report on Form 10-K for the fiscal year ended December 31, 2025 filed on </w:t>
            </w:r>
            <w:hyperlink r:id="rId2">
              <w:r>
                <w:rPr>
                  <w:rStyle w:val="InternetLink"/>
                </w:rPr>
                <w:t>March 31, 2026</w:t>
              </w:r>
            </w:hyperlink>
            <w:r>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Current Reports on Form 8-K filed on </w:t>
            </w:r>
            <w:hyperlink r:id="rId3">
              <w:r>
                <w:rPr>
                  <w:rStyle w:val="InternetLink"/>
                </w:rPr>
                <w:t>January 22, 2026</w:t>
              </w:r>
            </w:hyperlink>
            <w:r>
              <w:rPr/>
              <w:t xml:space="preserve">, </w:t>
            </w:r>
            <w:hyperlink r:id="rId4">
              <w:r>
                <w:rPr>
                  <w:rStyle w:val="InternetLink"/>
                </w:rPr>
                <w:t>February 9, 2026</w:t>
              </w:r>
            </w:hyperlink>
            <w:r>
              <w:rPr/>
              <w:t xml:space="preserve">, </w:t>
            </w:r>
            <w:hyperlink r:id="rId5">
              <w:r>
                <w:rPr>
                  <w:rStyle w:val="InternetLink"/>
                </w:rPr>
                <w:t>March 9, 2026</w:t>
              </w:r>
            </w:hyperlink>
            <w:r>
              <w:rPr/>
              <w:t xml:space="preserve">, </w:t>
            </w:r>
            <w:hyperlink r:id="rId6">
              <w:r>
                <w:rPr>
                  <w:rStyle w:val="InternetLink"/>
                </w:rPr>
                <w:t>April 1, 2026</w:t>
              </w:r>
            </w:hyperlink>
            <w:r>
              <w:rPr/>
              <w:t xml:space="preserve">, </w:t>
            </w:r>
            <w:hyperlink r:id="rId7">
              <w:r>
                <w:rPr>
                  <w:rStyle w:val="InternetLink"/>
                </w:rPr>
                <w:t>April 16, 2026</w:t>
              </w:r>
            </w:hyperlink>
            <w:r>
              <w:rPr/>
              <w:t xml:space="preserve">, </w:t>
            </w:r>
            <w:hyperlink r:id="rId8">
              <w:r>
                <w:rPr>
                  <w:rStyle w:val="InternetLink"/>
                </w:rPr>
                <w:t>April 22, 2026</w:t>
              </w:r>
            </w:hyperlink>
            <w:r>
              <w:rPr/>
              <w:t xml:space="preserve">, </w:t>
            </w:r>
            <w:hyperlink r:id="rId9">
              <w:r>
                <w:rPr>
                  <w:rStyle w:val="InternetLink"/>
                </w:rPr>
                <w:t>May 15, 2026</w:t>
              </w:r>
            </w:hyperlink>
            <w:r>
              <w:rPr/>
              <w:t xml:space="preserve">, </w:t>
            </w:r>
            <w:hyperlink r:id="rId10">
              <w:r>
                <w:rPr>
                  <w:rStyle w:val="InternetLink"/>
                </w:rPr>
                <w:t>June 9, 2026</w:t>
              </w:r>
            </w:hyperlink>
            <w:r>
              <w:rPr/>
              <w: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The description of the Company’s common stock filed as Exhibit 4.7 “Description of Registrant’s Securities” to the Company’s Annual Report on Form 10-K on </w:t>
            </w:r>
            <w:hyperlink r:id="rId11">
              <w:r>
                <w:rPr>
                  <w:rStyle w:val="InternetLink"/>
                </w:rPr>
                <w:t>March 31, 2025</w:t>
              </w:r>
            </w:hyperlink>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to each person, including any beneficial owner, to whom a prospectus is delivered, a copy of any or all of the information that has been incorporated by reference in this prospectus but not delivered with this prospectus. Exhibits to the filings will not be sent, however, unless those exhibits have specifically been incorporated by reference in this prospectus or any accompanying prospectus supplement. You may request a copy of this information at no cost, by writing or telephoning us at the following address or telephone number:</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sz w:val="20"/>
        </w:rPr>
        <w:t>Axe Compute Inc.</w:t>
      </w:r>
    </w:p>
    <w:p>
      <w:pPr>
        <w:pStyle w:val="TextBody"/>
        <w:bidi w:val="0"/>
        <w:spacing w:before="0" w:after="0"/>
        <w:ind w:left="0" w:right="0" w:hanging="0"/>
        <w:jc w:val="center"/>
        <w:rPr>
          <w:sz w:val="20"/>
        </w:rPr>
      </w:pPr>
      <w:r>
        <w:rPr>
          <w:sz w:val="20"/>
        </w:rPr>
        <w:t>Attention: Corporate Secretary</w:t>
        <w:br/>
        <w:t>91 43</w:t>
      </w:r>
      <w:r>
        <w:rPr>
          <w:position w:val="7"/>
          <w:sz w:val="16"/>
          <w:sz w:val="20"/>
        </w:rPr>
        <w:t>rd</w:t>
      </w:r>
      <w:r>
        <w:rPr>
          <w:sz w:val="20"/>
        </w:rPr>
        <w:t xml:space="preserve"> Street, Suite 110</w:t>
        <w:br/>
        <w:t>Pittsburgh, Pennsylvania 15201</w:t>
      </w:r>
    </w:p>
    <w:p>
      <w:pPr>
        <w:pStyle w:val="TextBody"/>
        <w:bidi w:val="0"/>
        <w:spacing w:before="0" w:after="0"/>
        <w:ind w:left="0" w:right="0" w:hanging="0"/>
        <w:jc w:val="center"/>
        <w:rPr>
          <w:sz w:val="20"/>
        </w:rPr>
      </w:pPr>
      <w:r>
        <w:rPr>
          <w:sz w:val="20"/>
        </w:rPr>
        <w:t>(412) 432-1500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PROSPECTUS</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2026</w:t>
      </w:r>
    </w:p>
    <w:p>
      <w:pPr>
        <w:pStyle w:val="TextBody"/>
        <w:shd w:fill="FFFFFF" w:val="clear"/>
        <w:bidi w:val="0"/>
        <w:spacing w:before="0" w:after="0"/>
        <w:ind w:left="0" w:right="0" w:hanging="0"/>
        <w:jc w:val="both"/>
        <w:rPr>
          <w:color w:val="FF4338"/>
        </w:rPr>
      </w:pPr>
      <w:r>
        <w:rPr>
          <w:color w:val="FF4338"/>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PART II</w:t>
      </w:r>
    </w:p>
    <w:p>
      <w:pPr>
        <w:pStyle w:val="TextBody"/>
        <w:bidi w:val="0"/>
        <w:spacing w:before="0" w:after="0"/>
        <w:ind w:left="0" w:right="0" w:hanging="0"/>
        <w:jc w:val="center"/>
        <w:rPr>
          <w:b/>
          <w:sz w:val="20"/>
        </w:rPr>
      </w:pPr>
      <w:r>
        <w:rPr>
          <w:b/>
          <w:sz w:val="20"/>
        </w:rPr>
        <w:t>INFORMATION NOT REQUIRED IN PROSPECTUS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14. Other Expenses Of Issuance And Distribution. </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following table sets forth the costs and expenses, payable by the registrant in connection with the sale of common stock being registered. All amounts are estimates except the SEC registration fee and the Nasdaq listing fee.</w:t>
      </w:r>
    </w:p>
    <w:p>
      <w:pPr>
        <w:pStyle w:val="TextBody"/>
        <w:bidi w:val="0"/>
        <w:spacing w:before="0" w:after="0"/>
        <w:ind w:left="0" w:right="0" w:firstLine="360"/>
        <w:jc w:val="both"/>
        <w:rPr/>
      </w:pPr>
      <w:r>
        <w:rPr/>
        <w:t> </w:t>
      </w:r>
    </w:p>
    <w:tbl>
      <w:tblPr>
        <w:tblW w:w="5655" w:type="dxa"/>
        <w:jc w:val="left"/>
        <w:tblInd w:w="0" w:type="dxa"/>
        <w:tblLayout w:type="fixed"/>
        <w:tblCellMar>
          <w:top w:w="0" w:type="dxa"/>
          <w:left w:w="0" w:type="dxa"/>
          <w:bottom w:w="0" w:type="dxa"/>
          <w:right w:w="0" w:type="dxa"/>
        </w:tblCellMar>
      </w:tblPr>
      <w:tblGrid>
        <w:gridCol w:w="5060"/>
        <w:gridCol w:w="60"/>
        <w:gridCol w:w="140"/>
        <w:gridCol w:w="320"/>
        <w:gridCol w:w="75"/>
      </w:tblGrid>
      <w:tr>
        <w:trPr/>
        <w:tc>
          <w:tcPr>
            <w:tcW w:w="5060" w:type="dxa"/>
            <w:tcBorders/>
            <w:shd w:fill="CCEEFF" w:val="clear"/>
            <w:vAlign w:val="center"/>
          </w:tcPr>
          <w:p>
            <w:pPr>
              <w:pStyle w:val="TableContents"/>
              <w:bidi w:val="0"/>
              <w:spacing w:before="0" w:after="283"/>
              <w:jc w:val="both"/>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2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20" w:type="dxa"/>
            <w:tcBorders/>
            <w:shd w:fill="FFFFFF" w:val="clear"/>
            <w:vAlign w:val="center"/>
          </w:tcPr>
          <w:p>
            <w:pPr>
              <w:pStyle w:val="TableContents"/>
              <w:bidi w:val="0"/>
              <w:spacing w:before="0" w:after="283"/>
              <w:jc w:val="right"/>
              <w:rPr/>
            </w:pPr>
            <w:r>
              <w:rPr/>
              <w:t>(1)</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Item 15. Indemnification of Directors and Officers.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a Delaware corporation and certain provisions of the Delaware Statutes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Section 145 of the Delaware General Corporation Law provides for, under certain circumstances, the indemnification of our officers, directors, employees and agents against liabilities that they may incur in such capacities. A summary of the circumstances in which such indemnification provided for is contained herein, but that description is qualified in its entirety by reference to the relevant Section of the Delaware General Corporation Law.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general, the statute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 (i) were taken in good faith; (ii) were reasonably believed to have been in or not opposed to our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by independent legal counsel or by vote of the stockholders that the applicable standard of conduct was met by the individual to be indemnified.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provisions further provide that to the extent a director, officer, employee or agent is wholly successful on the merits or otherwise in defense of any proceeding to which he was a party, he is entitled to receive indemnification against expenses, including attorneys’ fees, actually and reasonably incurred in connection with the proceeding.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an improper personal benefit.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Delaware law authorizes us to reimburse or pay reasonable expenses incurred by a director, officer, employee or agent in connection with a proceeding in advance of a final disposition of the matter. Such advances of expenses are permitted if the person furnishes to us a written agreement to repay such advances if it is determined that he is not entitled to be indemnified by 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section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persons.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provision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Article 8 of our certificate of incorporation provides that we shall indemnify our directors and officers to the fullest extent permitted by the Delaware General Corporation Law.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have purchased directors’ and officers’ liability insurance in order to limit the exposure to liability for indemnification of directors and officers, including liabilities under the Securities Act of 1933.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Insofar as indemnification for liabilities arising under the Securities Act may be permitted for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firstLine="36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16. Exhibits.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INDEX</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17"/>
        <w:gridCol w:w="9088"/>
      </w:tblGrid>
      <w:tr>
        <w:trPr/>
        <w:tc>
          <w:tcPr>
            <w:tcW w:w="1117" w:type="dxa"/>
            <w:tcBorders/>
            <w:vAlign w:val="center"/>
          </w:tcPr>
          <w:p>
            <w:pPr>
              <w:pStyle w:val="TableContents"/>
              <w:bidi w:val="0"/>
              <w:spacing w:before="0" w:after="283"/>
              <w:jc w:val="center"/>
              <w:rPr>
                <w:b/>
                <w:u w:val="single"/>
              </w:rPr>
            </w:pPr>
            <w:r>
              <w:rPr>
                <w:b/>
                <w:u w:val="single"/>
              </w:rPr>
              <w:t>Exhibit Number</w:t>
            </w:r>
          </w:p>
        </w:tc>
        <w:tc>
          <w:tcPr>
            <w:tcW w:w="9088" w:type="dxa"/>
            <w:tcBorders/>
            <w:vAlign w:val="center"/>
          </w:tcPr>
          <w:p>
            <w:pPr>
              <w:pStyle w:val="TableContents"/>
              <w:bidi w:val="0"/>
              <w:spacing w:before="0" w:after="283"/>
              <w:jc w:val="center"/>
              <w:rPr>
                <w:b/>
                <w:u w:val="single"/>
              </w:rPr>
            </w:pPr>
            <w:r>
              <w:rPr>
                <w:b/>
                <w:u w:val="single"/>
              </w:rPr>
              <w:t>Description</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2">
              <w:r>
                <w:rPr>
                  <w:rStyle w:val="InternetLink"/>
                </w:rPr>
                <w:t>3.1</w:t>
              </w:r>
            </w:hyperlink>
          </w:p>
        </w:tc>
        <w:tc>
          <w:tcPr>
            <w:tcW w:w="9088" w:type="dxa"/>
            <w:tcBorders/>
            <w:vAlign w:val="center"/>
          </w:tcPr>
          <w:p>
            <w:pPr>
              <w:pStyle w:val="TableContents"/>
              <w:bidi w:val="0"/>
              <w:spacing w:before="0" w:after="283"/>
              <w:jc w:val="both"/>
              <w:rPr/>
            </w:pPr>
            <w:hyperlink r:id="rId13">
              <w:r>
                <w:rPr>
                  <w:rStyle w:val="InternetLink"/>
                </w:rPr>
                <w:t>Certificate of Incorporation (Filed on December 19, 2013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4">
              <w:r>
                <w:rPr>
                  <w:rStyle w:val="InternetLink"/>
                </w:rPr>
                <w:t>3.2</w:t>
              </w:r>
            </w:hyperlink>
          </w:p>
        </w:tc>
        <w:tc>
          <w:tcPr>
            <w:tcW w:w="9088" w:type="dxa"/>
            <w:tcBorders/>
            <w:vAlign w:val="center"/>
          </w:tcPr>
          <w:p>
            <w:pPr>
              <w:pStyle w:val="TableContents"/>
              <w:bidi w:val="0"/>
              <w:spacing w:before="0" w:after="283"/>
              <w:jc w:val="both"/>
              <w:rPr/>
            </w:pPr>
            <w:hyperlink r:id="rId15">
              <w:r>
                <w:rPr>
                  <w:rStyle w:val="InternetLink"/>
                </w:rPr>
                <w:t>Certificate of Amendment to Certificate of Incorporation to effect reverse stock split and reduction in authorized share capital filed with the Delaware Secretary of State on October 20, 2014. (Filed on October 24, 2014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6">
              <w:r>
                <w:rPr>
                  <w:rStyle w:val="InternetLink"/>
                </w:rPr>
                <w:t>3.3</w:t>
              </w:r>
            </w:hyperlink>
          </w:p>
        </w:tc>
        <w:tc>
          <w:tcPr>
            <w:tcW w:w="9088" w:type="dxa"/>
            <w:tcBorders/>
            <w:vAlign w:val="center"/>
          </w:tcPr>
          <w:p>
            <w:pPr>
              <w:pStyle w:val="TableContents"/>
              <w:bidi w:val="0"/>
              <w:spacing w:before="0" w:after="283"/>
              <w:jc w:val="both"/>
              <w:rPr/>
            </w:pPr>
            <w:hyperlink r:id="rId17">
              <w:r>
                <w:rPr>
                  <w:rStyle w:val="InternetLink"/>
                </w:rPr>
                <w:t>Certificate of Amendment to Certificate of Incorporation regarding increase in share capital, filed with the Delaware Secretary of State on July 24, 2015. (Filed on June 30, 2015 as an appendix to our Information Statement on Schedule 14C,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8">
              <w:r>
                <w:rPr>
                  <w:rStyle w:val="InternetLink"/>
                </w:rPr>
                <w:t>3.4</w:t>
              </w:r>
            </w:hyperlink>
          </w:p>
        </w:tc>
        <w:tc>
          <w:tcPr>
            <w:tcW w:w="9088" w:type="dxa"/>
            <w:tcBorders/>
            <w:vAlign w:val="center"/>
          </w:tcPr>
          <w:p>
            <w:pPr>
              <w:pStyle w:val="TableContents"/>
              <w:bidi w:val="0"/>
              <w:spacing w:before="0" w:after="283"/>
              <w:jc w:val="both"/>
              <w:rPr/>
            </w:pPr>
            <w:hyperlink r:id="rId19">
              <w:r>
                <w:rPr>
                  <w:rStyle w:val="InternetLink"/>
                </w:rPr>
                <w:t>Certificate of Amendment to Certificate of Incorporation to increase authorized share capital, filed with the Delaware Secretary of State on September 16, 2016. (Filed on September 16, 2016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0">
              <w:r>
                <w:rPr>
                  <w:rStyle w:val="InternetLink"/>
                </w:rPr>
                <w:t>3.5</w:t>
              </w:r>
            </w:hyperlink>
          </w:p>
        </w:tc>
        <w:tc>
          <w:tcPr>
            <w:tcW w:w="9088" w:type="dxa"/>
            <w:tcBorders/>
            <w:vAlign w:val="center"/>
          </w:tcPr>
          <w:p>
            <w:pPr>
              <w:pStyle w:val="TableContents"/>
              <w:bidi w:val="0"/>
              <w:spacing w:before="0" w:after="283"/>
              <w:jc w:val="both"/>
              <w:rPr/>
            </w:pPr>
            <w:hyperlink r:id="rId21">
              <w:r>
                <w:rPr>
                  <w:rStyle w:val="InternetLink"/>
                </w:rPr>
                <w:t>Certificate of Amendment to Certificate of Incorporation to effect reverse stock split and reduction in authorized share capital, filed with the Delaware Secretary of State on October 26, 2016. (Filed on October 27, 2016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2">
              <w:r>
                <w:rPr>
                  <w:rStyle w:val="InternetLink"/>
                </w:rPr>
                <w:t>3.6</w:t>
              </w:r>
            </w:hyperlink>
          </w:p>
        </w:tc>
        <w:tc>
          <w:tcPr>
            <w:tcW w:w="9088" w:type="dxa"/>
            <w:tcBorders/>
            <w:vAlign w:val="center"/>
          </w:tcPr>
          <w:p>
            <w:pPr>
              <w:pStyle w:val="TableContents"/>
              <w:bidi w:val="0"/>
              <w:spacing w:before="0" w:after="283"/>
              <w:jc w:val="both"/>
              <w:rPr/>
            </w:pPr>
            <w:hyperlink r:id="rId23">
              <w:r>
                <w:rPr>
                  <w:rStyle w:val="InternetLink"/>
                </w:rPr>
                <w:t>Certificate of Amendment to Certificate of Incorporation regarding increase in share capital, filed with the Delaware Secretary of State on January 26, 2017. (Filed on January 27, 2017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4">
              <w:r>
                <w:rPr>
                  <w:rStyle w:val="InternetLink"/>
                </w:rPr>
                <w:t>3.7</w:t>
              </w:r>
            </w:hyperlink>
          </w:p>
        </w:tc>
        <w:tc>
          <w:tcPr>
            <w:tcW w:w="9088" w:type="dxa"/>
            <w:tcBorders/>
            <w:vAlign w:val="center"/>
          </w:tcPr>
          <w:p>
            <w:pPr>
              <w:pStyle w:val="TableContents"/>
              <w:bidi w:val="0"/>
              <w:spacing w:before="0" w:after="283"/>
              <w:jc w:val="both"/>
              <w:rPr/>
            </w:pPr>
            <w:hyperlink r:id="rId25">
              <w:r>
                <w:rPr>
                  <w:rStyle w:val="InternetLink"/>
                </w:rPr>
                <w:t>Certificate of Amendment to Certificate of Incorporation to effect reverse stock split, filed with the Delaware Secretary of State on January 2, 2018. (Filed on January 2, 2018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6">
              <w:r>
                <w:rPr>
                  <w:rStyle w:val="InternetLink"/>
                </w:rPr>
                <w:t>3.8</w:t>
              </w:r>
            </w:hyperlink>
          </w:p>
        </w:tc>
        <w:tc>
          <w:tcPr>
            <w:tcW w:w="9088" w:type="dxa"/>
            <w:tcBorders/>
            <w:vAlign w:val="center"/>
          </w:tcPr>
          <w:p>
            <w:pPr>
              <w:pStyle w:val="TableContents"/>
              <w:bidi w:val="0"/>
              <w:spacing w:before="0" w:after="283"/>
              <w:jc w:val="both"/>
              <w:rPr/>
            </w:pPr>
            <w:hyperlink r:id="rId27">
              <w:r>
                <w:rPr>
                  <w:rStyle w:val="InternetLink"/>
                </w:rPr>
                <w:t>Certificate of Amendment to Certificate of Incorporation to effect name change, filed with the Delaware Secretary of State on February 1, 2018. (Filed on February 6, 2018 as an exhibit to our Current Report on Form 8-K, and incorporated herein by reference).</w:t>
              </w:r>
            </w:hyperlink>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center"/>
              <w:rPr/>
            </w:pPr>
            <w:hyperlink r:id="rId28">
              <w:r>
                <w:rPr>
                  <w:rStyle w:val="InternetLink"/>
                </w:rPr>
                <w:t> </w:t>
              </w:r>
              <w:r>
                <w:rPr>
                  <w:rStyle w:val="InternetLink"/>
                </w:rPr>
                <w:t>3.9</w:t>
              </w:r>
            </w:hyperlink>
          </w:p>
        </w:tc>
        <w:tc>
          <w:tcPr>
            <w:tcW w:w="9750" w:type="dxa"/>
            <w:tcBorders/>
            <w:vAlign w:val="center"/>
          </w:tcPr>
          <w:p>
            <w:pPr>
              <w:pStyle w:val="TableContents"/>
              <w:bidi w:val="0"/>
              <w:spacing w:before="0" w:after="283"/>
              <w:jc w:val="both"/>
              <w:rPr/>
            </w:pPr>
            <w:hyperlink r:id="rId29">
              <w:r>
                <w:rPr>
                  <w:rStyle w:val="InternetLink"/>
                </w:rPr>
                <w:t>Form of Certificate of Designation of Preferences, Rights and Limitations of Series B Convertible Preferred Stock. (Filed on August 19, 2015 as an exhibit to our Registration Statement on Form S-1 (File No. 333-198962),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0">
              <w:r>
                <w:rPr>
                  <w:rStyle w:val="InternetLink"/>
                </w:rPr>
                <w:t>3.10</w:t>
              </w:r>
            </w:hyperlink>
          </w:p>
        </w:tc>
        <w:tc>
          <w:tcPr>
            <w:tcW w:w="9750" w:type="dxa"/>
            <w:tcBorders/>
            <w:vAlign w:val="center"/>
          </w:tcPr>
          <w:p>
            <w:pPr>
              <w:pStyle w:val="TableContents"/>
              <w:bidi w:val="0"/>
              <w:spacing w:before="0" w:after="283"/>
              <w:jc w:val="both"/>
              <w:rPr/>
            </w:pPr>
            <w:hyperlink r:id="rId31">
              <w:r>
                <w:rPr>
                  <w:rStyle w:val="InternetLink"/>
                </w:rPr>
                <w:t>Certificate of Designation of Preferences, Rights and Limitations of Series C Convertible Preferred Stock. (Filed on November 29, 2017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2">
              <w:r>
                <w:rPr>
                  <w:rStyle w:val="InternetLink"/>
                </w:rPr>
                <w:t>3.11</w:t>
              </w:r>
            </w:hyperlink>
          </w:p>
        </w:tc>
        <w:tc>
          <w:tcPr>
            <w:tcW w:w="9750" w:type="dxa"/>
            <w:tcBorders/>
            <w:vAlign w:val="center"/>
          </w:tcPr>
          <w:p>
            <w:pPr>
              <w:pStyle w:val="TableContents"/>
              <w:bidi w:val="0"/>
              <w:spacing w:before="0" w:after="283"/>
              <w:jc w:val="both"/>
              <w:rPr/>
            </w:pPr>
            <w:hyperlink r:id="rId33">
              <w:r>
                <w:rPr>
                  <w:rStyle w:val="InternetLink"/>
                </w:rPr>
                <w:t>Certificate of Amendment to Certificate of Incorporation dated March 22, 2019. (Filed on March 22,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4">
              <w:r>
                <w:rPr>
                  <w:rStyle w:val="InternetLink"/>
                </w:rPr>
                <w:t>3.12</w:t>
              </w:r>
            </w:hyperlink>
          </w:p>
        </w:tc>
        <w:tc>
          <w:tcPr>
            <w:tcW w:w="9750" w:type="dxa"/>
            <w:tcBorders/>
            <w:vAlign w:val="center"/>
          </w:tcPr>
          <w:p>
            <w:pPr>
              <w:pStyle w:val="TableContents"/>
              <w:bidi w:val="0"/>
              <w:spacing w:before="0" w:after="283"/>
              <w:jc w:val="both"/>
              <w:rPr/>
            </w:pPr>
            <w:hyperlink r:id="rId35">
              <w:r>
                <w:rPr>
                  <w:rStyle w:val="InternetLink"/>
                </w:rPr>
                <w:t>Certificate of Designation Of Preferences, Rights And Limitations of Series D Convertible Preferred Stock. (Filed on April 1, 2020 as an exhibit to our Annual Report on Form 10-K,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6">
              <w:r>
                <w:rPr>
                  <w:rStyle w:val="InternetLink"/>
                </w:rPr>
                <w:t>3.13</w:t>
              </w:r>
            </w:hyperlink>
          </w:p>
        </w:tc>
        <w:tc>
          <w:tcPr>
            <w:tcW w:w="9750" w:type="dxa"/>
            <w:tcBorders/>
            <w:vAlign w:val="center"/>
          </w:tcPr>
          <w:p>
            <w:pPr>
              <w:pStyle w:val="TableContents"/>
              <w:bidi w:val="0"/>
              <w:spacing w:before="0" w:after="283"/>
              <w:jc w:val="both"/>
              <w:rPr/>
            </w:pPr>
            <w:hyperlink r:id="rId37">
              <w:r>
                <w:rPr>
                  <w:rStyle w:val="InternetLink"/>
                </w:rPr>
                <w:t>Certificate of Designation of Preferences, Rights and Limitations of Series E Convertible Preferred Stock Effective June 13, 2019. (Filed on June 19,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8">
              <w:r>
                <w:rPr>
                  <w:rStyle w:val="InternetLink"/>
                </w:rPr>
                <w:t>3.14</w:t>
              </w:r>
            </w:hyperlink>
          </w:p>
        </w:tc>
        <w:tc>
          <w:tcPr>
            <w:tcW w:w="9750" w:type="dxa"/>
            <w:tcBorders/>
            <w:vAlign w:val="center"/>
          </w:tcPr>
          <w:p>
            <w:pPr>
              <w:pStyle w:val="TableContents"/>
              <w:bidi w:val="0"/>
              <w:spacing w:before="0" w:after="283"/>
              <w:jc w:val="both"/>
              <w:rPr/>
            </w:pPr>
            <w:hyperlink r:id="rId39">
              <w:r>
                <w:rPr>
                  <w:rStyle w:val="InternetLink"/>
                </w:rPr>
                <w:t xml:space="preserve">Certificate of Amendment of Certificate of Incorporation, changing name from Precision Therapeutics Inc. to Predictive Oncology Inc. (Filed on June 13, 2019 as an exhibit to our Current Report on Form 8-K, and incorporated herein by reference). </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0">
              <w:r>
                <w:rPr>
                  <w:rStyle w:val="InternetLink"/>
                </w:rPr>
                <w:t>3.15</w:t>
              </w:r>
            </w:hyperlink>
          </w:p>
        </w:tc>
        <w:tc>
          <w:tcPr>
            <w:tcW w:w="9750" w:type="dxa"/>
            <w:tcBorders/>
            <w:vAlign w:val="center"/>
          </w:tcPr>
          <w:p>
            <w:pPr>
              <w:pStyle w:val="TableContents"/>
              <w:bidi w:val="0"/>
              <w:spacing w:before="0" w:after="283"/>
              <w:jc w:val="both"/>
              <w:rPr/>
            </w:pPr>
            <w:hyperlink r:id="rId41">
              <w:r>
                <w:rPr>
                  <w:rStyle w:val="InternetLink"/>
                </w:rPr>
                <w:t>Certificate of Amendment of Certificate of Incorporation, amending number of shares of common stock and preferred stock, effecting a reverse stock split. (Filed on October 28, 2019 as an exhibit to our Current Report on Form 8-K).</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2">
              <w:r>
                <w:rPr>
                  <w:rStyle w:val="InternetLink"/>
                </w:rPr>
                <w:t>3.16</w:t>
              </w:r>
            </w:hyperlink>
          </w:p>
        </w:tc>
        <w:tc>
          <w:tcPr>
            <w:tcW w:w="9750" w:type="dxa"/>
            <w:tcBorders/>
            <w:vAlign w:val="center"/>
          </w:tcPr>
          <w:p>
            <w:pPr>
              <w:pStyle w:val="TableContents"/>
              <w:bidi w:val="0"/>
              <w:spacing w:before="0" w:after="283"/>
              <w:jc w:val="both"/>
              <w:rPr/>
            </w:pPr>
            <w:hyperlink r:id="rId43">
              <w:r>
                <w:rPr>
                  <w:rStyle w:val="InternetLink"/>
                </w:rPr>
                <w:t>Certificate of Amendment to the Certificate of Incorporation, doubling number of shares of common stock and preferred stock due to stock split. (Filed on August 19, 2021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4">
              <w:r>
                <w:rPr>
                  <w:rStyle w:val="InternetLink"/>
                </w:rPr>
                <w:t>3.17</w:t>
              </w:r>
            </w:hyperlink>
          </w:p>
        </w:tc>
        <w:tc>
          <w:tcPr>
            <w:tcW w:w="9750" w:type="dxa"/>
            <w:tcBorders/>
            <w:vAlign w:val="center"/>
          </w:tcPr>
          <w:p>
            <w:pPr>
              <w:pStyle w:val="TableContents"/>
              <w:bidi w:val="0"/>
              <w:spacing w:before="0" w:after="283"/>
              <w:jc w:val="both"/>
              <w:rPr/>
            </w:pPr>
            <w:hyperlink r:id="rId45">
              <w:r>
                <w:rPr>
                  <w:rStyle w:val="InternetLink"/>
                </w:rPr>
                <w:t>Certificate of Designation of Series F Preferred Stock (Filed on March 16, 2023 as an exhibit to the Form 8-A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6">
              <w:r>
                <w:rPr>
                  <w:rStyle w:val="InternetLink"/>
                </w:rPr>
                <w:t>3.18</w:t>
              </w:r>
            </w:hyperlink>
          </w:p>
        </w:tc>
        <w:tc>
          <w:tcPr>
            <w:tcW w:w="9750" w:type="dxa"/>
            <w:tcBorders/>
            <w:vAlign w:val="center"/>
          </w:tcPr>
          <w:p>
            <w:pPr>
              <w:pStyle w:val="TableContents"/>
              <w:bidi w:val="0"/>
              <w:spacing w:before="0" w:after="283"/>
              <w:jc w:val="both"/>
              <w:rPr/>
            </w:pPr>
            <w:hyperlink r:id="rId47">
              <w:r>
                <w:rPr>
                  <w:rStyle w:val="InternetLink"/>
                </w:rPr>
                <w:t>Certificate of Amendment to Certificate of Incorporation (Filed on April 20, 2023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8">
              <w:r>
                <w:rPr>
                  <w:rStyle w:val="InternetLink"/>
                </w:rPr>
                <w:t>3.19</w:t>
              </w:r>
            </w:hyperlink>
          </w:p>
        </w:tc>
        <w:tc>
          <w:tcPr>
            <w:tcW w:w="9750" w:type="dxa"/>
            <w:tcBorders/>
            <w:vAlign w:val="center"/>
          </w:tcPr>
          <w:p>
            <w:pPr>
              <w:pStyle w:val="TableContents"/>
              <w:bidi w:val="0"/>
              <w:spacing w:before="0" w:after="283"/>
              <w:jc w:val="left"/>
              <w:rPr/>
            </w:pPr>
            <w:hyperlink r:id="rId49">
              <w:r>
                <w:rPr>
                  <w:rStyle w:val="InternetLink"/>
                </w:rPr>
                <w:t>Certificate of Amendment of Certificate of Incorporation (Filed on September 25, 2025 as Exhibit 3.1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0">
              <w:r>
                <w:rPr>
                  <w:rStyle w:val="InternetLink"/>
                </w:rPr>
                <w:t>3.20</w:t>
              </w:r>
            </w:hyperlink>
          </w:p>
        </w:tc>
        <w:tc>
          <w:tcPr>
            <w:tcW w:w="9750" w:type="dxa"/>
            <w:tcBorders/>
            <w:vAlign w:val="center"/>
          </w:tcPr>
          <w:p>
            <w:pPr>
              <w:pStyle w:val="TableContents"/>
              <w:bidi w:val="0"/>
              <w:spacing w:before="0" w:after="283"/>
              <w:jc w:val="both"/>
              <w:rPr/>
            </w:pPr>
            <w:hyperlink r:id="rId51">
              <w:r>
                <w:rPr>
                  <w:rStyle w:val="InternetLink"/>
                </w:rPr>
                <w:t xml:space="preserve">Second Amended and Restated Bylaws of the Company, effective as of September 9, 2022 (Filed on September 30, 2022 as an exhibit to our Registration Statement on Form S-1 (File No. 333-267689). </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2">
              <w:r>
                <w:rPr>
                  <w:rStyle w:val="InternetLink"/>
                </w:rPr>
                <w:t>3.21</w:t>
              </w:r>
            </w:hyperlink>
          </w:p>
        </w:tc>
        <w:tc>
          <w:tcPr>
            <w:tcW w:w="9750" w:type="dxa"/>
            <w:tcBorders/>
            <w:vAlign w:val="center"/>
          </w:tcPr>
          <w:p>
            <w:pPr>
              <w:pStyle w:val="TableContents"/>
              <w:bidi w:val="0"/>
              <w:spacing w:before="0" w:after="283"/>
              <w:jc w:val="left"/>
              <w:rPr/>
            </w:pPr>
            <w:hyperlink r:id="rId53">
              <w:r>
                <w:rPr>
                  <w:rStyle w:val="InternetLink"/>
                </w:rPr>
                <w:t>Amendment to Second Amended and Restated Bylaws (Filed on September 30, 2025 as Exhibit 3.1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4">
              <w:r>
                <w:rPr>
                  <w:rStyle w:val="InternetLink"/>
                </w:rPr>
                <w:t>4.1</w:t>
              </w:r>
            </w:hyperlink>
          </w:p>
        </w:tc>
        <w:tc>
          <w:tcPr>
            <w:tcW w:w="9750" w:type="dxa"/>
            <w:tcBorders/>
            <w:vAlign w:val="center"/>
          </w:tcPr>
          <w:p>
            <w:pPr>
              <w:pStyle w:val="TableContents"/>
              <w:bidi w:val="0"/>
              <w:spacing w:before="0" w:after="283"/>
              <w:jc w:val="both"/>
              <w:rPr/>
            </w:pPr>
            <w:hyperlink r:id="rId55">
              <w:r>
                <w:rPr>
                  <w:rStyle w:val="InternetLink"/>
                </w:rPr>
                <w:t>Form of specimen certificate evidencing shares of Series B Convertible Preferred Stock. (Filed on August 10, 2015 as an exhibit to our Registration Statement on Form S-1/A (File No. 333-198962)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6">
              <w:r>
                <w:rPr>
                  <w:rStyle w:val="InternetLink"/>
                </w:rPr>
                <w:t>4.2</w:t>
              </w:r>
            </w:hyperlink>
          </w:p>
        </w:tc>
        <w:tc>
          <w:tcPr>
            <w:tcW w:w="9750" w:type="dxa"/>
            <w:tcBorders/>
            <w:vAlign w:val="center"/>
          </w:tcPr>
          <w:p>
            <w:pPr>
              <w:pStyle w:val="TableContents"/>
              <w:bidi w:val="0"/>
              <w:spacing w:before="0" w:after="283"/>
              <w:jc w:val="both"/>
              <w:rPr/>
            </w:pPr>
            <w:hyperlink r:id="rId57">
              <w:r>
                <w:rPr>
                  <w:rStyle w:val="InternetLink"/>
                </w:rPr>
                <w:t>Form of Unit Purchase Option issued February 27, 2019. (Filed on March 1,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8">
              <w:r>
                <w:rPr>
                  <w:rStyle w:val="InternetLink"/>
                </w:rPr>
                <w:t>4.3</w:t>
              </w:r>
            </w:hyperlink>
          </w:p>
        </w:tc>
        <w:tc>
          <w:tcPr>
            <w:tcW w:w="9750" w:type="dxa"/>
            <w:tcBorders/>
            <w:vAlign w:val="center"/>
          </w:tcPr>
          <w:p>
            <w:pPr>
              <w:pStyle w:val="TableContents"/>
              <w:bidi w:val="0"/>
              <w:spacing w:before="0" w:after="283"/>
              <w:jc w:val="both"/>
              <w:rPr/>
            </w:pPr>
            <w:hyperlink r:id="rId59">
              <w:r>
                <w:rPr>
                  <w:rStyle w:val="InternetLink"/>
                </w:rPr>
                <w:t>Form of Unit Purchase Option for the Purchase of Units issued March 29, 2019. (Filed on April 2, 2019 as an exhibit to our Current Report on Form 8-K and incorporated herein by reference.)</w:t>
              </w:r>
            </w:hyperlink>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9"/>
        <w:gridCol w:w="9666"/>
      </w:tblGrid>
      <w:tr>
        <w:trPr/>
        <w:tc>
          <w:tcPr>
            <w:tcW w:w="539" w:type="dxa"/>
            <w:tcBorders/>
            <w:vAlign w:val="center"/>
          </w:tcPr>
          <w:p>
            <w:pPr>
              <w:pStyle w:val="TableContents"/>
              <w:bidi w:val="0"/>
              <w:spacing w:before="0" w:after="283"/>
              <w:jc w:val="center"/>
              <w:rPr/>
            </w:pPr>
            <w:hyperlink r:id="rId60">
              <w:r>
                <w:rPr>
                  <w:rStyle w:val="InternetLink"/>
                </w:rPr>
                <w:t>4.4</w:t>
              </w:r>
            </w:hyperlink>
          </w:p>
        </w:tc>
        <w:tc>
          <w:tcPr>
            <w:tcW w:w="9666" w:type="dxa"/>
            <w:tcBorders/>
            <w:vAlign w:val="center"/>
          </w:tcPr>
          <w:p>
            <w:pPr>
              <w:pStyle w:val="TableContents"/>
              <w:bidi w:val="0"/>
              <w:spacing w:before="0" w:after="283"/>
              <w:jc w:val="both"/>
              <w:rPr/>
            </w:pPr>
            <w:hyperlink r:id="rId61">
              <w:r>
                <w:rPr>
                  <w:rStyle w:val="InternetLink"/>
                </w:rPr>
                <w:t>Form of Specimen Common Stock Certificate. (Filed on October 3, 2019 as an exhibit to our Registration Statement on Form S-3 (File No. 333-234073)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62">
              <w:r>
                <w:rPr>
                  <w:rStyle w:val="InternetLink"/>
                </w:rPr>
                <w:t>4.5</w:t>
              </w:r>
            </w:hyperlink>
          </w:p>
        </w:tc>
        <w:tc>
          <w:tcPr>
            <w:tcW w:w="9666" w:type="dxa"/>
            <w:tcBorders/>
            <w:vAlign w:val="center"/>
          </w:tcPr>
          <w:p>
            <w:pPr>
              <w:pStyle w:val="TableContents"/>
              <w:bidi w:val="0"/>
              <w:spacing w:before="0" w:after="283"/>
              <w:jc w:val="both"/>
              <w:rPr/>
            </w:pPr>
            <w:hyperlink r:id="rId63">
              <w:r>
                <w:rPr>
                  <w:rStyle w:val="InternetLink"/>
                </w:rPr>
                <w:t>Form of Common Stock Purchase Warrant Issued on or about October 1, 2019. (Filed on October 10, 2019 as an exhibit to our Current Report on Form 8-K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64">
              <w:r>
                <w:rPr>
                  <w:rStyle w:val="InternetLink"/>
                </w:rPr>
                <w:t>4.6</w:t>
              </w:r>
            </w:hyperlink>
          </w:p>
        </w:tc>
        <w:tc>
          <w:tcPr>
            <w:tcW w:w="9666" w:type="dxa"/>
            <w:tcBorders/>
            <w:vAlign w:val="center"/>
          </w:tcPr>
          <w:p>
            <w:pPr>
              <w:pStyle w:val="TableContents"/>
              <w:bidi w:val="0"/>
              <w:spacing w:before="0" w:after="283"/>
              <w:jc w:val="both"/>
              <w:rPr/>
            </w:pPr>
            <w:hyperlink r:id="rId65">
              <w:r>
                <w:rPr>
                  <w:rStyle w:val="InternetLink"/>
                </w:rPr>
                <w:t>Common Stock Purchase Warrant issued to Oasis Capital, LLC dated February 5, 2020. (Filed on February 7, 2020 as an exhibit to our Current Report on Form 8-K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66">
              <w:r>
                <w:rPr>
                  <w:rStyle w:val="InternetLink"/>
                </w:rPr>
                <w:t>4.7</w:t>
              </w:r>
            </w:hyperlink>
          </w:p>
        </w:tc>
        <w:tc>
          <w:tcPr>
            <w:tcW w:w="9666" w:type="dxa"/>
            <w:tcBorders/>
            <w:vAlign w:val="center"/>
          </w:tcPr>
          <w:p>
            <w:pPr>
              <w:pStyle w:val="TableContents"/>
              <w:bidi w:val="0"/>
              <w:spacing w:before="0" w:after="283"/>
              <w:jc w:val="both"/>
              <w:rPr/>
            </w:pPr>
            <w:hyperlink r:id="rId67">
              <w:r>
                <w:rPr>
                  <w:rStyle w:val="InternetLink"/>
                </w:rPr>
                <w:t>Description of Registrant’s Securities. (Filed on March 31, 2025 as an exhibit to our Annual Report on Form 10-K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68">
              <w:r>
                <w:rPr>
                  <w:rStyle w:val="InternetLink"/>
                </w:rPr>
                <w:t>4.8</w:t>
              </w:r>
            </w:hyperlink>
          </w:p>
        </w:tc>
        <w:tc>
          <w:tcPr>
            <w:tcW w:w="9666" w:type="dxa"/>
            <w:tcBorders/>
            <w:vAlign w:val="center"/>
          </w:tcPr>
          <w:p>
            <w:pPr>
              <w:pStyle w:val="TableContents"/>
              <w:bidi w:val="0"/>
              <w:spacing w:before="0" w:after="283"/>
              <w:jc w:val="both"/>
              <w:rPr/>
            </w:pPr>
            <w:hyperlink r:id="rId69">
              <w:r>
                <w:rPr>
                  <w:rStyle w:val="InternetLink"/>
                </w:rPr>
                <w:t xml:space="preserve">Common Stock Purchase Warrant issued to Oasis Capital, LLC dated March 6, 2020. (Filed on April 6, 2020 as an exhibit to our Registration Statement on Form S-3 (File No. 333-237581) and incorporated herein by reference.) </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r>
              <w:fldChar w:fldCharType="begin"/>
            </w:r>
            <w:r>
              <w:rPr>
                <w:rStyle w:val="InternetLink"/>
              </w:rPr>
              <w:instrText xml:space="preserve"> HYPERLINK "https://www.sec.gov/Archives/edgar/data/1446159/000117184319000496/s4a_012419.htm" \l "a_00h"</w:instrText>
            </w:r>
            <w:r>
              <w:rPr>
                <w:rStyle w:val="InternetLink"/>
              </w:rPr>
              <w:fldChar w:fldCharType="separate"/>
            </w:r>
            <w:r>
              <w:rPr>
                <w:rStyle w:val="InternetLink"/>
              </w:rPr>
              <w:t>4.9</w:t>
            </w:r>
            <w:r>
              <w:rPr>
                <w:rStyle w:val="InternetLink"/>
              </w:rPr>
              <w:fldChar w:fldCharType="end"/>
            </w:r>
          </w:p>
        </w:tc>
        <w:tc>
          <w:tcPr>
            <w:tcW w:w="9666" w:type="dxa"/>
            <w:tcBorders/>
            <w:vAlign w:val="center"/>
          </w:tcPr>
          <w:p>
            <w:pPr>
              <w:pStyle w:val="TableContents"/>
              <w:bidi w:val="0"/>
              <w:spacing w:before="0" w:after="283"/>
              <w:jc w:val="both"/>
              <w:rPr/>
            </w:pPr>
            <w:r>
              <w:fldChar w:fldCharType="begin"/>
            </w:r>
            <w:r>
              <w:rPr>
                <w:rStyle w:val="InternetLink"/>
              </w:rPr>
              <w:instrText xml:space="preserve"> HYPERLINK "https://www.sec.gov/Archives/edgar/data/1446159/000117184319000496/s4a_012419.htm" \l "a_00h"</w:instrText>
            </w:r>
            <w:r>
              <w:rPr>
                <w:rStyle w:val="InternetLink"/>
              </w:rPr>
              <w:fldChar w:fldCharType="separate"/>
            </w:r>
            <w:r>
              <w:rPr>
                <w:rStyle w:val="InternetLink"/>
              </w:rPr>
              <w:t>Form of Helomics Common Stock Purchase Warrant issued April 4, 2019. (Filed on January 24, 2019 as Annex H to Amendment No. 2 to Form S-4 (File No. 333-228031) and incorporated herein by reference.)</w:t>
            </w:r>
            <w:r>
              <w:rPr>
                <w:rStyle w:val="InternetLink"/>
              </w:rPr>
              <w:fldChar w:fldCharType="end"/>
            </w:r>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70">
              <w:r>
                <w:rPr>
                  <w:rStyle w:val="InternetLink"/>
                </w:rPr>
                <w:t>4.10</w:t>
              </w:r>
            </w:hyperlink>
          </w:p>
        </w:tc>
        <w:tc>
          <w:tcPr>
            <w:tcW w:w="9666" w:type="dxa"/>
            <w:tcBorders/>
            <w:vAlign w:val="center"/>
          </w:tcPr>
          <w:p>
            <w:pPr>
              <w:pStyle w:val="TableContents"/>
              <w:bidi w:val="0"/>
              <w:spacing w:before="0" w:after="283"/>
              <w:jc w:val="both"/>
              <w:rPr/>
            </w:pPr>
            <w:hyperlink r:id="rId71">
              <w:r>
                <w:rPr>
                  <w:rStyle w:val="InternetLink"/>
                </w:rPr>
                <w:t xml:space="preserve">Form of Common Stock Purchase Warrant issued January 12, 2021. (Filed on January 12, 2021 as an exhibit to our Current Report on Form 8-K and incorporated herein by reference.) </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72">
              <w:r>
                <w:rPr>
                  <w:rStyle w:val="InternetLink"/>
                </w:rPr>
                <w:t>4.11</w:t>
              </w:r>
            </w:hyperlink>
          </w:p>
        </w:tc>
        <w:tc>
          <w:tcPr>
            <w:tcW w:w="9666" w:type="dxa"/>
            <w:tcBorders/>
            <w:vAlign w:val="center"/>
          </w:tcPr>
          <w:p>
            <w:pPr>
              <w:pStyle w:val="TableContents"/>
              <w:bidi w:val="0"/>
              <w:spacing w:before="0" w:after="283"/>
              <w:jc w:val="both"/>
              <w:rPr/>
            </w:pPr>
            <w:hyperlink r:id="rId73">
              <w:r>
                <w:rPr>
                  <w:rStyle w:val="InternetLink"/>
                </w:rPr>
                <w:t xml:space="preserve">Form of Common Stock Purchase Warrant issued January 19, 2021. (Filed on January 21, 2021 as an exhibit to our Current Report on Form 8-K and incorporated herein by reference.) </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74">
              <w:r>
                <w:rPr>
                  <w:rStyle w:val="InternetLink"/>
                </w:rPr>
                <w:t>4.12</w:t>
              </w:r>
            </w:hyperlink>
          </w:p>
        </w:tc>
        <w:tc>
          <w:tcPr>
            <w:tcW w:w="9666" w:type="dxa"/>
            <w:tcBorders/>
            <w:vAlign w:val="center"/>
          </w:tcPr>
          <w:p>
            <w:pPr>
              <w:pStyle w:val="TableContents"/>
              <w:bidi w:val="0"/>
              <w:spacing w:before="0" w:after="283"/>
              <w:jc w:val="both"/>
              <w:rPr/>
            </w:pPr>
            <w:hyperlink r:id="rId75">
              <w:r>
                <w:rPr>
                  <w:rStyle w:val="InternetLink"/>
                </w:rPr>
                <w:t>Form of Placement Agent Warrant to H.C. Wainwright &amp; Co., LLC or its designees in connection with certain financing transactions in 2020 and 2021. (Filed on January 29, 2021 as an exhibit to our Current Report on Form 8-K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76">
              <w:r>
                <w:rPr>
                  <w:rStyle w:val="InternetLink"/>
                </w:rPr>
                <w:t>4.13</w:t>
              </w:r>
            </w:hyperlink>
          </w:p>
        </w:tc>
        <w:tc>
          <w:tcPr>
            <w:tcW w:w="9666" w:type="dxa"/>
            <w:tcBorders/>
            <w:vAlign w:val="center"/>
          </w:tcPr>
          <w:p>
            <w:pPr>
              <w:pStyle w:val="TableContents"/>
              <w:bidi w:val="0"/>
              <w:spacing w:before="0" w:after="283"/>
              <w:jc w:val="both"/>
              <w:rPr/>
            </w:pPr>
            <w:hyperlink r:id="rId77">
              <w:r>
                <w:rPr>
                  <w:rStyle w:val="InternetLink"/>
                </w:rPr>
                <w:t>Form of Common Stock Purchase Warrant dated February 10, 2021. (Filed on February 12, 2021 as an exhibit to our Current Report on Form 8-K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78">
              <w:r>
                <w:rPr>
                  <w:rStyle w:val="InternetLink"/>
                </w:rPr>
                <w:t>4.14</w:t>
              </w:r>
            </w:hyperlink>
          </w:p>
        </w:tc>
        <w:tc>
          <w:tcPr>
            <w:tcW w:w="9666" w:type="dxa"/>
            <w:tcBorders/>
            <w:vAlign w:val="center"/>
          </w:tcPr>
          <w:p>
            <w:pPr>
              <w:pStyle w:val="TableContents"/>
              <w:bidi w:val="0"/>
              <w:spacing w:before="0" w:after="283"/>
              <w:jc w:val="both"/>
              <w:rPr/>
            </w:pPr>
            <w:hyperlink r:id="rId79">
              <w:r>
                <w:rPr>
                  <w:rStyle w:val="InternetLink"/>
                </w:rPr>
                <w:t>Form of Common Stock Purchase Warrant dated February 18, 2021. (Filed on February 22, 2021 as an exhibit to our Current Report on Form 8-K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80">
              <w:r>
                <w:rPr>
                  <w:rStyle w:val="InternetLink"/>
                </w:rPr>
                <w:t>4.15</w:t>
              </w:r>
            </w:hyperlink>
          </w:p>
        </w:tc>
        <w:tc>
          <w:tcPr>
            <w:tcW w:w="9666" w:type="dxa"/>
            <w:tcBorders/>
            <w:vAlign w:val="center"/>
          </w:tcPr>
          <w:p>
            <w:pPr>
              <w:pStyle w:val="TableContents"/>
              <w:bidi w:val="0"/>
              <w:spacing w:before="0" w:after="283"/>
              <w:jc w:val="both"/>
              <w:rPr/>
            </w:pPr>
            <w:hyperlink r:id="rId81">
              <w:r>
                <w:rPr>
                  <w:rStyle w:val="InternetLink"/>
                </w:rPr>
                <w:t>Form of Common Stock Purchase Warrant dated June 14, 2021. (Filed on June 16, 2021 as an exhibit to our Current Report on Form 8-K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82">
              <w:r>
                <w:rPr>
                  <w:rStyle w:val="InternetLink"/>
                </w:rPr>
                <w:t>4.16</w:t>
              </w:r>
            </w:hyperlink>
          </w:p>
        </w:tc>
        <w:tc>
          <w:tcPr>
            <w:tcW w:w="9666" w:type="dxa"/>
            <w:tcBorders/>
            <w:vAlign w:val="center"/>
          </w:tcPr>
          <w:p>
            <w:pPr>
              <w:pStyle w:val="TableContents"/>
              <w:bidi w:val="0"/>
              <w:spacing w:before="0" w:after="283"/>
              <w:jc w:val="left"/>
              <w:rPr/>
            </w:pPr>
            <w:hyperlink r:id="rId83">
              <w:r>
                <w:rPr>
                  <w:rStyle w:val="InternetLink"/>
                </w:rPr>
                <w:t>Form of Placement Agent Warrant dated June 14, 2021. (Filed on June 16, 2021 as an exhibit to our Current Report on Form 8-K and incorporated herein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84">
              <w:r>
                <w:rPr>
                  <w:rStyle w:val="InternetLink"/>
                </w:rPr>
                <w:t>4.17</w:t>
              </w:r>
            </w:hyperlink>
          </w:p>
        </w:tc>
        <w:tc>
          <w:tcPr>
            <w:tcW w:w="9666" w:type="dxa"/>
            <w:tcBorders/>
            <w:vAlign w:val="center"/>
          </w:tcPr>
          <w:p>
            <w:pPr>
              <w:pStyle w:val="TableContents"/>
              <w:bidi w:val="0"/>
              <w:spacing w:before="0" w:after="283"/>
              <w:jc w:val="both"/>
              <w:rPr/>
            </w:pPr>
            <w:hyperlink r:id="rId85">
              <w:r>
                <w:rPr>
                  <w:rStyle w:val="InternetLink"/>
                </w:rPr>
                <w:t>Form of Series B Warrant dated July 26, 2024. (Filed on July 29, 2024 as an exhibit to our Current Report on Form 8-K and incorporated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hyperlink r:id="rId86">
              <w:r>
                <w:rPr>
                  <w:rStyle w:val="InternetLink"/>
                </w:rPr>
                <w:t>4.18</w:t>
              </w:r>
            </w:hyperlink>
          </w:p>
        </w:tc>
        <w:tc>
          <w:tcPr>
            <w:tcW w:w="9666" w:type="dxa"/>
            <w:tcBorders/>
            <w:vAlign w:val="center"/>
          </w:tcPr>
          <w:p>
            <w:pPr>
              <w:pStyle w:val="TableContents"/>
              <w:bidi w:val="0"/>
              <w:spacing w:before="0" w:after="283"/>
              <w:jc w:val="left"/>
              <w:rPr/>
            </w:pPr>
            <w:hyperlink r:id="rId87">
              <w:r>
                <w:rPr>
                  <w:rStyle w:val="InternetLink"/>
                </w:rPr>
                <w:t>Form of Placement Agent Warrant dated July 26, 2024. (Filed on July 29, 2024 as an exhibit to our Current Report on Form 8-K and incorporated by reference.)</w:t>
              </w:r>
            </w:hyperlink>
          </w:p>
        </w:tc>
      </w:tr>
      <w:tr>
        <w:trPr/>
        <w:tc>
          <w:tcPr>
            <w:tcW w:w="53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r>
              <w:rPr/>
              <w:t>4.19**</w:t>
            </w:r>
          </w:p>
        </w:tc>
        <w:tc>
          <w:tcPr>
            <w:tcW w:w="9666" w:type="dxa"/>
            <w:tcBorders/>
            <w:vAlign w:val="center"/>
          </w:tcPr>
          <w:p>
            <w:pPr>
              <w:pStyle w:val="TableContents"/>
              <w:bidi w:val="0"/>
              <w:spacing w:before="0" w:after="283"/>
              <w:jc w:val="left"/>
              <w:rPr/>
            </w:pPr>
            <w:r>
              <w:rPr/>
              <w:t>Form of Indenture</w:t>
            </w:r>
          </w:p>
        </w:tc>
      </w:tr>
      <w:tr>
        <w:trPr/>
        <w:tc>
          <w:tcPr>
            <w:tcW w:w="539" w:type="dxa"/>
            <w:tcBorders/>
            <w:vAlign w:val="center"/>
          </w:tcPr>
          <w:p>
            <w:pPr>
              <w:pStyle w:val="TableContents"/>
              <w:bidi w:val="0"/>
              <w:spacing w:before="0" w:after="283"/>
              <w:jc w:val="center"/>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r>
              <w:rPr/>
              <w:t>4.20**</w:t>
            </w:r>
          </w:p>
        </w:tc>
        <w:tc>
          <w:tcPr>
            <w:tcW w:w="9666" w:type="dxa"/>
            <w:tcBorders/>
            <w:vAlign w:val="center"/>
          </w:tcPr>
          <w:p>
            <w:pPr>
              <w:pStyle w:val="TableContents"/>
              <w:bidi w:val="0"/>
              <w:spacing w:before="0" w:after="283"/>
              <w:jc w:val="left"/>
              <w:rPr/>
            </w:pPr>
            <w:r>
              <w:rPr/>
              <w:t>Form of Warrant Agreement</w:t>
            </w:r>
          </w:p>
        </w:tc>
      </w:tr>
      <w:tr>
        <w:trPr/>
        <w:tc>
          <w:tcPr>
            <w:tcW w:w="539" w:type="dxa"/>
            <w:tcBorders/>
            <w:vAlign w:val="center"/>
          </w:tcPr>
          <w:p>
            <w:pPr>
              <w:pStyle w:val="TableContents"/>
              <w:bidi w:val="0"/>
              <w:spacing w:before="0" w:after="283"/>
              <w:jc w:val="center"/>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r>
              <w:rPr/>
              <w:t>4.21**</w:t>
            </w:r>
          </w:p>
        </w:tc>
        <w:tc>
          <w:tcPr>
            <w:tcW w:w="9666" w:type="dxa"/>
            <w:tcBorders/>
            <w:vAlign w:val="center"/>
          </w:tcPr>
          <w:p>
            <w:pPr>
              <w:pStyle w:val="TableContents"/>
              <w:bidi w:val="0"/>
              <w:spacing w:before="0" w:after="283"/>
              <w:jc w:val="left"/>
              <w:rPr/>
            </w:pPr>
            <w:r>
              <w:rPr/>
              <w:t>Form of Warrant Agent Agreement</w:t>
            </w:r>
          </w:p>
        </w:tc>
      </w:tr>
      <w:tr>
        <w:trPr/>
        <w:tc>
          <w:tcPr>
            <w:tcW w:w="539" w:type="dxa"/>
            <w:tcBorders/>
            <w:vAlign w:val="center"/>
          </w:tcPr>
          <w:p>
            <w:pPr>
              <w:pStyle w:val="TableContents"/>
              <w:bidi w:val="0"/>
              <w:spacing w:before="0" w:after="283"/>
              <w:jc w:val="center"/>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r>
              <w:rPr/>
              <w:t>4.22**</w:t>
            </w:r>
          </w:p>
        </w:tc>
        <w:tc>
          <w:tcPr>
            <w:tcW w:w="9666" w:type="dxa"/>
            <w:tcBorders/>
            <w:vAlign w:val="center"/>
          </w:tcPr>
          <w:p>
            <w:pPr>
              <w:pStyle w:val="TableContents"/>
              <w:bidi w:val="0"/>
              <w:spacing w:before="0" w:after="283"/>
              <w:jc w:val="left"/>
              <w:rPr/>
            </w:pPr>
            <w:r>
              <w:rPr/>
              <w:t>Form of Unit Agreement</w:t>
            </w:r>
          </w:p>
        </w:tc>
      </w:tr>
      <w:tr>
        <w:trPr/>
        <w:tc>
          <w:tcPr>
            <w:tcW w:w="539" w:type="dxa"/>
            <w:tcBorders/>
            <w:vAlign w:val="center"/>
          </w:tcPr>
          <w:p>
            <w:pPr>
              <w:pStyle w:val="TableContents"/>
              <w:bidi w:val="0"/>
              <w:spacing w:before="0" w:after="283"/>
              <w:jc w:val="center"/>
              <w:rPr/>
            </w:pPr>
            <w:r>
              <w:rPr/>
              <w:t> </w:t>
            </w:r>
          </w:p>
        </w:tc>
        <w:tc>
          <w:tcPr>
            <w:tcW w:w="9666"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center"/>
              <w:rPr/>
            </w:pPr>
            <w:r>
              <w:rPr/>
              <w:t>4.23**</w:t>
            </w:r>
          </w:p>
        </w:tc>
        <w:tc>
          <w:tcPr>
            <w:tcW w:w="9666" w:type="dxa"/>
            <w:tcBorders/>
            <w:vAlign w:val="center"/>
          </w:tcPr>
          <w:p>
            <w:pPr>
              <w:pStyle w:val="TableContents"/>
              <w:bidi w:val="0"/>
              <w:spacing w:before="0" w:after="283"/>
              <w:jc w:val="left"/>
              <w:rPr/>
            </w:pPr>
            <w:r>
              <w:rPr/>
              <w:t>Form of Preferred Stock Certificate and Certificate of Designation of Preferred Stock</w:t>
            </w:r>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00" w:type="dxa"/>
        <w:jc w:val="left"/>
        <w:tblInd w:w="0" w:type="dxa"/>
        <w:tblLayout w:type="fixed"/>
        <w:tblCellMar>
          <w:top w:w="0" w:type="dxa"/>
          <w:left w:w="0" w:type="dxa"/>
          <w:bottom w:w="0" w:type="dxa"/>
          <w:right w:w="0" w:type="dxa"/>
        </w:tblCellMar>
      </w:tblPr>
      <w:tblGrid>
        <w:gridCol w:w="815"/>
        <w:gridCol w:w="7085"/>
      </w:tblGrid>
      <w:tr>
        <w:trPr/>
        <w:tc>
          <w:tcPr>
            <w:tcW w:w="815" w:type="dxa"/>
            <w:tcBorders/>
            <w:vAlign w:val="center"/>
          </w:tcPr>
          <w:p>
            <w:pPr>
              <w:pStyle w:val="TableContents"/>
              <w:bidi w:val="0"/>
              <w:spacing w:before="0" w:after="283"/>
              <w:jc w:val="center"/>
              <w:rPr/>
            </w:pPr>
            <w:hyperlink w:anchor="exh_51.htm">
              <w:r>
                <w:rPr>
                  <w:rStyle w:val="InternetLink"/>
                </w:rPr>
                <w:t>5.1*</w:t>
              </w:r>
            </w:hyperlink>
          </w:p>
        </w:tc>
        <w:tc>
          <w:tcPr>
            <w:tcW w:w="7085" w:type="dxa"/>
            <w:tcBorders/>
            <w:vAlign w:val="center"/>
          </w:tcPr>
          <w:p>
            <w:pPr>
              <w:pStyle w:val="TableContents"/>
              <w:bidi w:val="0"/>
              <w:spacing w:before="0" w:after="283"/>
              <w:jc w:val="left"/>
              <w:rPr/>
            </w:pPr>
            <w:hyperlink w:anchor="exh_51.htm">
              <w:r>
                <w:rPr>
                  <w:rStyle w:val="InternetLink"/>
                </w:rPr>
                <w:t>Opinion of Lucosky Brookman LLP</w:t>
              </w:r>
            </w:hyperlink>
          </w:p>
        </w:tc>
      </w:tr>
      <w:tr>
        <w:trPr/>
        <w:tc>
          <w:tcPr>
            <w:tcW w:w="815" w:type="dxa"/>
            <w:tcBorders/>
            <w:vAlign w:val="center"/>
          </w:tcPr>
          <w:p>
            <w:pPr>
              <w:pStyle w:val="TableContents"/>
              <w:bidi w:val="0"/>
              <w:spacing w:before="0" w:after="283"/>
              <w:jc w:val="center"/>
              <w:rPr/>
            </w:pPr>
            <w:r>
              <w:rPr/>
              <w:t> </w:t>
            </w:r>
          </w:p>
        </w:tc>
        <w:tc>
          <w:tcPr>
            <w:tcW w:w="708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center"/>
              <w:rPr/>
            </w:pPr>
            <w:hyperlink w:anchor="exh_231.htm">
              <w:r>
                <w:rPr>
                  <w:rStyle w:val="InternetLink"/>
                </w:rPr>
                <w:t>23.1*</w:t>
              </w:r>
            </w:hyperlink>
          </w:p>
        </w:tc>
        <w:tc>
          <w:tcPr>
            <w:tcW w:w="7085" w:type="dxa"/>
            <w:tcBorders/>
            <w:vAlign w:val="center"/>
          </w:tcPr>
          <w:p>
            <w:pPr>
              <w:pStyle w:val="TableContents"/>
              <w:bidi w:val="0"/>
              <w:spacing w:before="0" w:after="283"/>
              <w:jc w:val="both"/>
              <w:rPr/>
            </w:pPr>
            <w:hyperlink w:anchor="exh_231.htm">
              <w:r>
                <w:rPr>
                  <w:rStyle w:val="InternetLink"/>
                </w:rPr>
                <w:t>Consent of Independent Registered Public Accounting Firm: KPMG, LLP</w:t>
              </w:r>
            </w:hyperlink>
          </w:p>
        </w:tc>
      </w:tr>
      <w:tr>
        <w:trPr/>
        <w:tc>
          <w:tcPr>
            <w:tcW w:w="815" w:type="dxa"/>
            <w:tcBorders/>
            <w:vAlign w:val="center"/>
          </w:tcPr>
          <w:p>
            <w:pPr>
              <w:pStyle w:val="TableContents"/>
              <w:bidi w:val="0"/>
              <w:spacing w:before="0" w:after="283"/>
              <w:jc w:val="center"/>
              <w:rPr/>
            </w:pPr>
            <w:r>
              <w:rPr/>
              <w:t> </w:t>
            </w:r>
          </w:p>
        </w:tc>
        <w:tc>
          <w:tcPr>
            <w:tcW w:w="7085" w:type="dxa"/>
            <w:tcBorders/>
            <w:vAlign w:val="center"/>
          </w:tcPr>
          <w:p>
            <w:pPr>
              <w:pStyle w:val="TableContents"/>
              <w:bidi w:val="0"/>
              <w:spacing w:before="0" w:after="283"/>
              <w:jc w:val="both"/>
              <w:rPr/>
            </w:pPr>
            <w:r>
              <w:rPr/>
              <w:t> </w:t>
            </w:r>
          </w:p>
        </w:tc>
      </w:tr>
      <w:tr>
        <w:trPr/>
        <w:tc>
          <w:tcPr>
            <w:tcW w:w="815" w:type="dxa"/>
            <w:tcBorders/>
            <w:vAlign w:val="center"/>
          </w:tcPr>
          <w:p>
            <w:pPr>
              <w:pStyle w:val="TableContents"/>
              <w:bidi w:val="0"/>
              <w:spacing w:before="0" w:after="283"/>
              <w:jc w:val="center"/>
              <w:rPr/>
            </w:pPr>
            <w:hyperlink w:anchor="exh_51.htm">
              <w:r>
                <w:rPr>
                  <w:rStyle w:val="InternetLink"/>
                </w:rPr>
                <w:t>23.2*</w:t>
              </w:r>
            </w:hyperlink>
          </w:p>
        </w:tc>
        <w:tc>
          <w:tcPr>
            <w:tcW w:w="7085" w:type="dxa"/>
            <w:tcBorders/>
            <w:vAlign w:val="center"/>
          </w:tcPr>
          <w:p>
            <w:pPr>
              <w:pStyle w:val="TableContents"/>
              <w:bidi w:val="0"/>
              <w:spacing w:before="0" w:after="283"/>
              <w:jc w:val="both"/>
              <w:rPr/>
            </w:pPr>
            <w:hyperlink w:anchor="exh_51.htm">
              <w:r>
                <w:rPr>
                  <w:rStyle w:val="InternetLink"/>
                </w:rPr>
                <w:t>Consent of Lucosky Brookman LLP (reference is made to Exhibit 5.1)</w:t>
              </w:r>
            </w:hyperlink>
          </w:p>
        </w:tc>
      </w:tr>
      <w:tr>
        <w:trPr/>
        <w:tc>
          <w:tcPr>
            <w:tcW w:w="815"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center"/>
              <w:rPr/>
            </w:pPr>
            <w:hyperlink w:anchor="poa">
              <w:r>
                <w:rPr>
                  <w:rStyle w:val="InternetLink"/>
                </w:rPr>
                <w:t>24.1*</w:t>
              </w:r>
            </w:hyperlink>
          </w:p>
        </w:tc>
        <w:tc>
          <w:tcPr>
            <w:tcW w:w="7085" w:type="dxa"/>
            <w:tcBorders/>
            <w:vAlign w:val="center"/>
          </w:tcPr>
          <w:p>
            <w:pPr>
              <w:pStyle w:val="TableContents"/>
              <w:bidi w:val="0"/>
              <w:spacing w:before="0" w:after="283"/>
              <w:jc w:val="both"/>
              <w:rPr/>
            </w:pPr>
            <w:hyperlink w:anchor="poa">
              <w:r>
                <w:rPr>
                  <w:rStyle w:val="InternetLink"/>
                  <w:u w:val="single"/>
                </w:rPr>
                <w:t>Power of Attorney (included on signature page)</w:t>
              </w:r>
            </w:hyperlink>
          </w:p>
        </w:tc>
      </w:tr>
      <w:tr>
        <w:trPr/>
        <w:tc>
          <w:tcPr>
            <w:tcW w:w="815"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center"/>
              <w:rPr/>
            </w:pPr>
            <w:r>
              <w:rPr/>
              <w:t>25.1***</w:t>
            </w:r>
          </w:p>
        </w:tc>
        <w:tc>
          <w:tcPr>
            <w:tcW w:w="7085" w:type="dxa"/>
            <w:tcBorders/>
            <w:vAlign w:val="center"/>
          </w:tcPr>
          <w:p>
            <w:pPr>
              <w:pStyle w:val="TableContents"/>
              <w:bidi w:val="0"/>
              <w:spacing w:before="0" w:after="283"/>
              <w:jc w:val="left"/>
              <w:rPr/>
            </w:pPr>
            <w:r>
              <w:rPr/>
              <w:t>Form T-1 Statement of Eligibility of Trustee</w:t>
            </w:r>
          </w:p>
        </w:tc>
      </w:tr>
      <w:tr>
        <w:trPr/>
        <w:tc>
          <w:tcPr>
            <w:tcW w:w="815" w:type="dxa"/>
            <w:tcBorders/>
            <w:vAlign w:val="center"/>
          </w:tcPr>
          <w:p>
            <w:pPr>
              <w:pStyle w:val="TableContents"/>
              <w:bidi w:val="0"/>
              <w:spacing w:before="0" w:after="283"/>
              <w:jc w:val="center"/>
              <w:rPr/>
            </w:pPr>
            <w:r>
              <w:rPr/>
              <w:t> </w:t>
            </w:r>
          </w:p>
        </w:tc>
        <w:tc>
          <w:tcPr>
            <w:tcW w:w="708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center"/>
              <w:rPr/>
            </w:pPr>
            <w:hyperlink w:anchor="exh_107.htm">
              <w:r>
                <w:rPr>
                  <w:rStyle w:val="InternetLink"/>
                </w:rPr>
                <w:t>107*</w:t>
              </w:r>
            </w:hyperlink>
          </w:p>
        </w:tc>
        <w:tc>
          <w:tcPr>
            <w:tcW w:w="7085" w:type="dxa"/>
            <w:tcBorders/>
            <w:vAlign w:val="center"/>
          </w:tcPr>
          <w:p>
            <w:pPr>
              <w:pStyle w:val="TableContents"/>
              <w:bidi w:val="0"/>
              <w:spacing w:before="0" w:after="283"/>
              <w:jc w:val="both"/>
              <w:rPr/>
            </w:pPr>
            <w:hyperlink w:anchor="exh_107.htm">
              <w:r>
                <w:rPr>
                  <w:rStyle w:val="InternetLink"/>
                </w:rPr>
                <w:t> </w:t>
              </w:r>
              <w:r>
                <w:rPr>
                  <w:rStyle w:val="InternetLink"/>
                </w:rPr>
                <w:t>Calculation of Filing Fee Tables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*Filed herewith.</w:t>
      </w:r>
    </w:p>
    <w:p>
      <w:pPr>
        <w:pStyle w:val="TextBody"/>
        <w:bidi w:val="0"/>
        <w:spacing w:before="0" w:after="0"/>
        <w:ind w:left="0" w:right="0" w:hanging="0"/>
        <w:jc w:val="both"/>
        <w:rPr>
          <w:sz w:val="20"/>
        </w:rPr>
      </w:pPr>
      <w:r>
        <w:rPr>
          <w:sz w:val="20"/>
        </w:rPr>
        <w:t>** To be filed, if applicable, by amendment or incorporated by reference pursuant to a Current Report on Form 8-K.</w:t>
      </w:r>
    </w:p>
    <w:p>
      <w:pPr>
        <w:pStyle w:val="TextBody"/>
        <w:bidi w:val="0"/>
        <w:spacing w:before="0" w:after="0"/>
        <w:ind w:left="0" w:right="0" w:hanging="0"/>
        <w:jc w:val="both"/>
        <w:rPr>
          <w:sz w:val="20"/>
        </w:rPr>
      </w:pPr>
      <w:r>
        <w:rPr>
          <w:sz w:val="20"/>
        </w:rPr>
        <w:t>*** To be filed pursuant to Section 305(b)(2) of the Trust Indenture Act of 1939, as amended.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 xml:space="preserve">Item 17. Undertakings. </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undersigned registrant hereby undertakes: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91"/>
        <w:gridCol w:w="9639"/>
      </w:tblGrid>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both"/>
              <w:rPr/>
            </w:pPr>
            <w:r>
              <w:rPr/>
              <w:t>(a)(1)</w:t>
            </w:r>
          </w:p>
        </w:tc>
        <w:tc>
          <w:tcPr>
            <w:tcW w:w="9639"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pPr>
      <w:r>
        <w:rPr/>
        <w:t> </w:t>
      </w:r>
    </w:p>
    <w:tbl>
      <w:tblPr>
        <w:tblW w:w="8260" w:type="dxa"/>
        <w:jc w:val="left"/>
        <w:tblInd w:w="0" w:type="dxa"/>
        <w:tblLayout w:type="fixed"/>
        <w:tblCellMar>
          <w:top w:w="0" w:type="dxa"/>
          <w:left w:w="0" w:type="dxa"/>
          <w:bottom w:w="0" w:type="dxa"/>
          <w:right w:w="0" w:type="dxa"/>
        </w:tblCellMar>
      </w:tblPr>
      <w:tblGrid>
        <w:gridCol w:w="75"/>
        <w:gridCol w:w="230"/>
        <w:gridCol w:w="79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(i)</w:t>
            </w:r>
          </w:p>
        </w:tc>
        <w:tc>
          <w:tcPr>
            <w:tcW w:w="7955"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pPr>
            <w:r>
              <w:rPr/>
              <w:t>(ii)</w:t>
            </w:r>
          </w:p>
        </w:tc>
        <w:tc>
          <w:tcPr>
            <w:tcW w:w="990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both"/>
              <w:rPr/>
            </w:pPr>
            <w:r>
              <w:rPr/>
              <w:t>(iii)</w:t>
            </w:r>
          </w:p>
        </w:tc>
        <w:tc>
          <w:tcPr>
            <w:tcW w:w="9818"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(2)</w:t>
            </w:r>
          </w:p>
        </w:tc>
        <w:tc>
          <w:tcPr>
            <w:tcW w:w="9893"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both"/>
              <w:rPr/>
            </w:pPr>
            <w:r>
              <w:rPr/>
              <w:t>(3)</w:t>
            </w:r>
          </w:p>
        </w:tc>
        <w:tc>
          <w:tcPr>
            <w:tcW w:w="9869"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both"/>
              <w:rPr/>
            </w:pPr>
            <w:r>
              <w:rPr/>
              <w:t>(4)</w:t>
            </w:r>
          </w:p>
        </w:tc>
        <w:tc>
          <w:tcPr>
            <w:tcW w:w="9846" w:type="dxa"/>
            <w:tcBorders/>
            <w:vAlign w:val="center"/>
          </w:tcPr>
          <w:p>
            <w:pPr>
              <w:pStyle w:val="TableContents"/>
              <w:bidi w:val="0"/>
              <w:spacing w:before="0" w:after="283"/>
              <w:jc w:val="both"/>
              <w:rPr/>
            </w:pPr>
            <w:r>
              <w:rPr/>
              <w:t>That, for the purpose of determining liability of the registrant under the Securities Act of 1933 to any purchaser: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(i)</w:t>
            </w:r>
          </w:p>
        </w:tc>
        <w:tc>
          <w:tcPr>
            <w:tcW w:w="9911"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(ii)</w:t>
            </w:r>
          </w:p>
        </w:tc>
        <w:tc>
          <w:tcPr>
            <w:tcW w:w="9911" w:type="dxa"/>
            <w:tcBorders/>
            <w:vAlign w:val="center"/>
          </w:tcPr>
          <w:p>
            <w:pPr>
              <w:pStyle w:val="TableContents"/>
              <w:bidi w:val="0"/>
              <w:spacing w:before="0" w:after="283"/>
              <w:jc w:val="both"/>
              <w:rPr/>
            </w:pPr>
            <w:r>
              <w:rPr/>
              <w:t>Each prospectus required to be filed pursuant to Rule 424(b)(2), 424(b)(5), or 424(b)(7) as part of a registration statement in reliance on Rule 430B relating to an offering made pursuant to Rule 415(a)(1)(i), 415(a)(1)(vii), or 415(a)(1)(x)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both"/>
              <w:rPr/>
            </w:pPr>
            <w:r>
              <w:rPr/>
              <w:t>(5)</w:t>
            </w:r>
          </w:p>
        </w:tc>
        <w:tc>
          <w:tcPr>
            <w:tcW w:w="9904"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both"/>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both"/>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The undersigned registrant hereby further undertakes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(c)</w:t>
            </w:r>
          </w:p>
        </w:tc>
        <w:tc>
          <w:tcPr>
            <w:tcW w:w="9909"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(d)</w:t>
            </w:r>
          </w:p>
        </w:tc>
        <w:tc>
          <w:tcPr>
            <w:tcW w:w="9909"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(e)</w:t>
            </w:r>
          </w:p>
        </w:tc>
        <w:tc>
          <w:tcPr>
            <w:tcW w:w="9909" w:type="dxa"/>
            <w:tcBorders/>
            <w:vAlign w:val="center"/>
          </w:tcPr>
          <w:p>
            <w:pPr>
              <w:pStyle w:val="TableContents"/>
              <w:bidi w:val="0"/>
              <w:spacing w:before="0" w:after="283"/>
              <w:jc w:val="both"/>
              <w:rPr/>
            </w:pPr>
            <w:r>
              <w:rPr/>
              <w:t>If and when applicable, the Registrant hereby further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Pursuant to the requirements of the Securities Act of 1933, as amended, the registrant has duly caused this registration statement to be signed on its behalf by the undersigned, thereunto duly authorized in the City of Pittsburgh, Commonwealth of Pennsylvania, on June 9, 2026.</w:t>
      </w:r>
    </w:p>
    <w:p>
      <w:pPr>
        <w:pStyle w:val="TextBody"/>
        <w:bidi w:val="0"/>
        <w:spacing w:before="0" w:after="0"/>
        <w:ind w:left="0" w:right="0" w:hanging="0"/>
        <w:jc w:val="left"/>
        <w:rPr/>
      </w:pPr>
      <w:r>
        <w:rPr/>
        <w:t> </w:t>
      </w:r>
    </w:p>
    <w:tbl>
      <w:tblPr>
        <w:tblW w:w="2510" w:type="dxa"/>
        <w:jc w:val="left"/>
        <w:tblInd w:w="0" w:type="dxa"/>
        <w:tblLayout w:type="fixed"/>
        <w:tblCellMar>
          <w:top w:w="0" w:type="dxa"/>
          <w:left w:w="0" w:type="dxa"/>
          <w:bottom w:w="0" w:type="dxa"/>
          <w:right w:w="0" w:type="dxa"/>
        </w:tblCellMar>
      </w:tblPr>
      <w:tblGrid>
        <w:gridCol w:w="75"/>
        <w:gridCol w:w="2435"/>
      </w:tblGrid>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b/>
              </w:rPr>
            </w:pPr>
            <w:r>
              <w:rPr>
                <w:b/>
              </w:rPr>
              <w:t>AXE COMPUTE INC.</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5" w:type="dxa"/>
            <w:tcBorders>
              <w:bottom w:val="single" w:sz="8" w:space="0" w:color="000000"/>
            </w:tcBorders>
            <w:tcMar>
              <w:bottom w:w="28" w:type="dxa"/>
            </w:tcMar>
            <w:vAlign w:val="center"/>
          </w:tcPr>
          <w:p>
            <w:pPr>
              <w:pStyle w:val="TableContents"/>
              <w:bidi w:val="0"/>
              <w:spacing w:before="0" w:after="283"/>
              <w:jc w:val="left"/>
              <w:rPr/>
            </w:pPr>
            <w:r>
              <w:rPr/>
              <w:t>/s/ Christopher Miglino</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Christopher Miglino</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6" w:name="poa"/>
      <w:bookmarkEnd w:id="16"/>
      <w:r>
        <w:rPr>
          <w:b/>
          <w:sz w:val="20"/>
        </w:rPr>
        <w:t>POWER OF ATTORNEY</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Each person whose signature appears below hereby constitutes and appoints Christopher Miglino and Jeremy Yaukey-Witter, and each of them, as his true and lawful attorneys-in-fact and agents, with full power of substitution and resubstitution, for him and in his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Pursuant to the requirements of the Securities Act of 1933, this registration statement has been signed below by the following persons in the capacities and on the dates indicated:</w:t>
      </w:r>
    </w:p>
    <w:p>
      <w:pPr>
        <w:pStyle w:val="TextBody"/>
        <w:bidi w:val="0"/>
        <w:spacing w:before="0" w:after="0"/>
        <w:ind w:left="0" w:right="0" w:hanging="0"/>
        <w:jc w:val="left"/>
        <w:rPr/>
      </w:pPr>
      <w:r>
        <w:rPr/>
        <w:t> </w:t>
      </w:r>
    </w:p>
    <w:tbl>
      <w:tblPr>
        <w:tblW w:w="10110" w:type="dxa"/>
        <w:jc w:val="left"/>
        <w:tblInd w:w="0" w:type="dxa"/>
        <w:tblLayout w:type="fixed"/>
        <w:tblCellMar>
          <w:top w:w="0" w:type="dxa"/>
          <w:left w:w="0" w:type="dxa"/>
          <w:bottom w:w="28" w:type="dxa"/>
          <w:right w:w="0" w:type="dxa"/>
        </w:tblCellMar>
      </w:tblPr>
      <w:tblGrid>
        <w:gridCol w:w="2450"/>
        <w:gridCol w:w="60"/>
        <w:gridCol w:w="6290"/>
        <w:gridCol w:w="60"/>
        <w:gridCol w:w="1250"/>
      </w:tblGrid>
      <w:tr>
        <w:trPr/>
        <w:tc>
          <w:tcPr>
            <w:tcW w:w="2450"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629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center"/>
              <w:rPr>
                <w:b/>
              </w:rPr>
            </w:pPr>
            <w:r>
              <w:rPr>
                <w:b/>
              </w:rPr>
              <w:t>Date</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Christopher Miglino</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Chief Executive Officer (principal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Christopher Miglino</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Jeremy Yaukey-Witter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Chief Financial Officer (principal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Jeremy Yaukey-Witter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Gregory St. Clair, Sr.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Gregory St. Clair, Sr.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Daniel Handley</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Daniel Handley</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Chuck Nuzum</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Chuck Nuzum</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Thorsten Dirks</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Thorsten Dirks</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Matthew Hawryluk</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Matthew Hawryluk</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Theodore Zhu</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June 9, 2026</w:t>
            </w:r>
          </w:p>
        </w:tc>
      </w:tr>
      <w:tr>
        <w:trPr/>
        <w:tc>
          <w:tcPr>
            <w:tcW w:w="2450" w:type="dxa"/>
            <w:tcBorders/>
            <w:tcMar>
              <w:bottom w:w="0" w:type="dxa"/>
            </w:tcMar>
            <w:vAlign w:val="center"/>
          </w:tcPr>
          <w:p>
            <w:pPr>
              <w:pStyle w:val="TableContents"/>
              <w:bidi w:val="0"/>
              <w:spacing w:before="0" w:after="283"/>
              <w:jc w:val="left"/>
              <w:rPr/>
            </w:pPr>
            <w:r>
              <w:rPr/>
              <w:t>Theodore Zhu</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right"/>
        <w:rPr>
          <w:b/>
        </w:rPr>
      </w:pPr>
      <w:bookmarkStart w:id="17" w:name="exh_51.htm"/>
      <w:bookmarkStart w:id="18" w:name="ksexh_51"/>
      <w:bookmarkEnd w:id="17"/>
      <w:bookmarkEnd w:id="18"/>
      <w:r>
        <w:rPr>
          <w:b/>
        </w:rPr>
        <w:t>Exhibit 5.1</w:t>
      </w:r>
      <w:r>
        <w:br w:type="page"/>
      </w:r>
    </w:p>
    <w:p>
      <w:pPr>
        <w:pStyle w:val="TextBody"/>
        <w:bidi w:val="0"/>
        <w:spacing w:before="0" w:after="0"/>
        <w:ind w:left="0" w:right="0" w:hanging="0"/>
        <w:jc w:val="right"/>
        <w:rPr/>
      </w:pPr>
      <w:r>
        <w:rPr/>
        <w:t> </w:t>
      </w:r>
    </w:p>
    <w:tbl>
      <w:tblPr>
        <w:tblW w:w="4805" w:type="dxa"/>
        <w:jc w:val="left"/>
        <w:tblInd w:w="0" w:type="dxa"/>
        <w:tblLayout w:type="fixed"/>
        <w:tblCellMar>
          <w:top w:w="0" w:type="dxa"/>
          <w:left w:w="0" w:type="dxa"/>
          <w:bottom w:w="0" w:type="dxa"/>
          <w:right w:w="0" w:type="dxa"/>
        </w:tblCellMar>
      </w:tblPr>
      <w:tblGrid>
        <w:gridCol w:w="2175"/>
        <w:gridCol w:w="2630"/>
      </w:tblGrid>
      <w:tr>
        <w:trPr/>
        <w:tc>
          <w:tcPr>
            <w:tcW w:w="2175" w:type="dxa"/>
            <w:tcBorders/>
            <w:vAlign w:val="center"/>
          </w:tcPr>
          <w:p>
            <w:pPr>
              <w:pStyle w:val="TableContents"/>
              <w:bidi w:val="0"/>
              <w:spacing w:before="0" w:after="283"/>
              <w:jc w:val="left"/>
              <w:rPr/>
            </w:pPr>
            <w:r>
              <w:rPr/>
              <w:drawing>
                <wp:inline distT="0" distB="0" distL="0" distR="0">
                  <wp:extent cx="13716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8"/>
                          <a:stretch>
                            <a:fillRect/>
                          </a:stretch>
                        </pic:blipFill>
                        <pic:spPr bwMode="auto">
                          <a:xfrm>
                            <a:off x="0" y="0"/>
                            <a:ext cx="1371600" cy="333375"/>
                          </a:xfrm>
                          <a:prstGeom prst="rect">
                            <a:avLst/>
                          </a:prstGeom>
                        </pic:spPr>
                      </pic:pic>
                    </a:graphicData>
                  </a:graphic>
                </wp:inline>
              </w:drawing>
            </w:r>
          </w:p>
        </w:tc>
        <w:tc>
          <w:tcPr>
            <w:tcW w:w="2630" w:type="dxa"/>
            <w:tcBorders/>
            <w:vAlign w:val="center"/>
          </w:tcPr>
          <w:p>
            <w:pPr>
              <w:pStyle w:val="TableContents"/>
              <w:bidi w:val="0"/>
              <w:spacing w:before="0" w:after="0"/>
              <w:ind w:left="0" w:right="0" w:hanging="0"/>
              <w:jc w:val="right"/>
              <w:rPr>
                <w:b/>
                <w:sz w:val="20"/>
              </w:rPr>
            </w:pPr>
            <w:r>
              <w:rPr>
                <w:b/>
                <w:sz w:val="20"/>
              </w:rPr>
              <w:t>LUCOSKY BROOKMAN LLP</w:t>
            </w:r>
          </w:p>
          <w:p>
            <w:pPr>
              <w:pStyle w:val="TableContents"/>
              <w:bidi w:val="0"/>
              <w:spacing w:before="0" w:after="0"/>
              <w:ind w:left="0" w:right="0" w:hanging="0"/>
              <w:jc w:val="right"/>
              <w:rPr>
                <w:sz w:val="20"/>
              </w:rPr>
            </w:pPr>
            <w:r>
              <w:rPr>
                <w:sz w:val="20"/>
              </w:rPr>
              <w:t>101 Wood Avenue South</w:t>
            </w:r>
          </w:p>
          <w:p>
            <w:pPr>
              <w:pStyle w:val="TableContents"/>
              <w:bidi w:val="0"/>
              <w:spacing w:before="0" w:after="0"/>
              <w:ind w:left="0" w:right="0" w:hanging="0"/>
              <w:jc w:val="right"/>
              <w:rPr>
                <w:sz w:val="20"/>
              </w:rPr>
            </w:pPr>
            <w:r>
              <w:rPr>
                <w:sz w:val="20"/>
              </w:rPr>
              <w:t>5th Floor</w:t>
            </w:r>
          </w:p>
          <w:p>
            <w:pPr>
              <w:pStyle w:val="TableContents"/>
              <w:bidi w:val="0"/>
              <w:spacing w:before="0" w:after="0"/>
              <w:ind w:left="0" w:right="0" w:hanging="0"/>
              <w:jc w:val="right"/>
              <w:rPr>
                <w:sz w:val="20"/>
              </w:rPr>
            </w:pPr>
            <w:r>
              <w:rPr>
                <w:sz w:val="20"/>
              </w:rPr>
              <w:t>Woodbridge, NJ 08830</w:t>
            </w:r>
          </w:p>
          <w:p>
            <w:pPr>
              <w:pStyle w:val="TableContents"/>
              <w:bidi w:val="0"/>
              <w:spacing w:before="0" w:after="0"/>
              <w:ind w:left="0" w:right="0" w:hanging="0"/>
              <w:jc w:val="right"/>
              <w:rPr>
                <w:sz w:val="20"/>
              </w:rPr>
            </w:pPr>
            <w:r>
              <w:rPr>
                <w:sz w:val="20"/>
              </w:rPr>
              <w:t>T - (732) 395-4400</w:t>
            </w:r>
          </w:p>
          <w:p>
            <w:pPr>
              <w:pStyle w:val="TableContents"/>
              <w:bidi w:val="0"/>
              <w:spacing w:before="0" w:after="0"/>
              <w:ind w:left="0" w:right="0" w:hanging="0"/>
              <w:jc w:val="right"/>
              <w:rPr>
                <w:sz w:val="20"/>
              </w:rPr>
            </w:pPr>
            <w:r>
              <w:rPr>
                <w:sz w:val="20"/>
              </w:rPr>
              <w:t>F- (732) 395-4401</w:t>
            </w:r>
          </w:p>
        </w:tc>
      </w:tr>
      <w:tr>
        <w:trPr/>
        <w:tc>
          <w:tcPr>
            <w:tcW w:w="21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21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ind w:left="0" w:right="0" w:hanging="0"/>
              <w:jc w:val="right"/>
              <w:rPr>
                <w:sz w:val="20"/>
              </w:rPr>
            </w:pPr>
            <w:r>
              <w:rPr>
                <w:sz w:val="20"/>
              </w:rPr>
              <w:t>111 Broadway</w:t>
            </w:r>
          </w:p>
          <w:p>
            <w:pPr>
              <w:pStyle w:val="TableContents"/>
              <w:bidi w:val="0"/>
              <w:spacing w:before="0" w:after="0"/>
              <w:ind w:left="0" w:right="0" w:hanging="0"/>
              <w:jc w:val="right"/>
              <w:rPr>
                <w:sz w:val="20"/>
              </w:rPr>
            </w:pPr>
            <w:r>
              <w:rPr>
                <w:sz w:val="20"/>
              </w:rPr>
              <w:t>Suite 807</w:t>
            </w:r>
          </w:p>
          <w:p>
            <w:pPr>
              <w:pStyle w:val="TableContents"/>
              <w:bidi w:val="0"/>
              <w:spacing w:before="0" w:after="0"/>
              <w:ind w:left="0" w:right="0" w:hanging="0"/>
              <w:jc w:val="right"/>
              <w:rPr>
                <w:sz w:val="20"/>
              </w:rPr>
            </w:pPr>
            <w:r>
              <w:rPr>
                <w:sz w:val="20"/>
              </w:rPr>
              <w:t>New York, NY 10006</w:t>
            </w:r>
          </w:p>
          <w:p>
            <w:pPr>
              <w:pStyle w:val="TableContents"/>
              <w:bidi w:val="0"/>
              <w:spacing w:before="0" w:after="0"/>
              <w:ind w:left="0" w:right="0" w:hanging="0"/>
              <w:jc w:val="right"/>
              <w:rPr>
                <w:sz w:val="20"/>
              </w:rPr>
            </w:pPr>
            <w:r>
              <w:rPr>
                <w:sz w:val="20"/>
              </w:rPr>
              <w:t>T - (212) 417-8160</w:t>
            </w:r>
          </w:p>
          <w:p>
            <w:pPr>
              <w:pStyle w:val="TableContents"/>
              <w:bidi w:val="0"/>
              <w:spacing w:before="0" w:after="0"/>
              <w:ind w:left="0" w:right="0" w:hanging="0"/>
              <w:jc w:val="right"/>
              <w:rPr>
                <w:sz w:val="20"/>
              </w:rPr>
            </w:pPr>
            <w:r>
              <w:rPr>
                <w:sz w:val="20"/>
              </w:rPr>
              <w:t>F - (212) 417-8161</w:t>
            </w:r>
          </w:p>
          <w:p>
            <w:pPr>
              <w:pStyle w:val="TableContents"/>
              <w:bidi w:val="0"/>
              <w:spacing w:before="0" w:after="0"/>
              <w:ind w:left="0" w:right="0" w:hanging="0"/>
              <w:jc w:val="right"/>
              <w:rPr>
                <w:sz w:val="20"/>
              </w:rPr>
            </w:pPr>
            <w:r>
              <w:rPr>
                <w:sz w:val="20"/>
              </w:rPr>
              <w:t>www. lucbro.com</w:t>
            </w:r>
          </w:p>
        </w:tc>
      </w:tr>
      <w:tr>
        <w:trPr/>
        <w:tc>
          <w:tcPr>
            <w:tcW w:w="21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2175" w:type="dxa"/>
            <w:tcBorders/>
            <w:vAlign w:val="center"/>
          </w:tcPr>
          <w:p>
            <w:pPr>
              <w:pStyle w:val="TableContents"/>
              <w:bidi w:val="0"/>
              <w:spacing w:before="0" w:after="0"/>
              <w:ind w:left="0" w:right="0" w:hanging="0"/>
              <w:jc w:val="both"/>
              <w:rPr>
                <w:sz w:val="20"/>
              </w:rPr>
            </w:pPr>
            <w:r>
              <w:rPr>
                <w:sz w:val="20"/>
              </w:rPr>
              <w:t>June 9, 2026</w:t>
            </w:r>
          </w:p>
          <w:p>
            <w:pPr>
              <w:pStyle w:val="TableContents"/>
              <w:bidi w:val="0"/>
              <w:spacing w:before="0" w:after="0"/>
              <w:ind w:left="0" w:right="0" w:hanging="0"/>
              <w:jc w:val="both"/>
              <w:rPr>
                <w:sz w:val="20"/>
              </w:rPr>
            </w:pPr>
            <w:r>
              <w:rPr>
                <w:sz w:val="20"/>
              </w:rPr>
              <w:t>Axe Compute Inc.</w:t>
            </w:r>
          </w:p>
          <w:p>
            <w:pPr>
              <w:pStyle w:val="TableContents"/>
              <w:bidi w:val="0"/>
              <w:spacing w:before="0" w:after="0"/>
              <w:ind w:left="0" w:right="0" w:hanging="0"/>
              <w:jc w:val="both"/>
              <w:rPr>
                <w:sz w:val="20"/>
              </w:rPr>
            </w:pPr>
            <w:r>
              <w:rPr>
                <w:sz w:val="20"/>
              </w:rPr>
              <w:t>91 43rd Street, Suite 110</w:t>
            </w:r>
          </w:p>
          <w:p>
            <w:pPr>
              <w:pStyle w:val="TableContents"/>
              <w:bidi w:val="0"/>
              <w:spacing w:before="0" w:after="0"/>
              <w:ind w:left="0" w:right="0" w:hanging="0"/>
              <w:jc w:val="both"/>
              <w:rPr>
                <w:sz w:val="20"/>
              </w:rPr>
            </w:pPr>
            <w:r>
              <w:rPr>
                <w:sz w:val="20"/>
              </w:rPr>
              <w:t>Pittsburgh, PA 15201</w:t>
            </w:r>
          </w:p>
        </w:tc>
        <w:tc>
          <w:tcPr>
            <w:tcW w:w="26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RE: Registration Statement on Form S-3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Ladies and Gentlemen: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acting as counsel for Axe Compute Inc., a Delaware corporation (the “</w:t>
      </w:r>
      <w:r>
        <w:rPr>
          <w:sz w:val="20"/>
          <w:u w:val="single"/>
        </w:rPr>
        <w:t>Company</w:t>
      </w:r>
      <w:r>
        <w:rPr>
          <w:sz w:val="20"/>
        </w:rPr>
        <w:t>”), in connection with the Registration Statement on Form S-3 (such Registration Statement, as amended from time to time, is herein referred to as the “</w:t>
      </w:r>
      <w:r>
        <w:rPr>
          <w:sz w:val="20"/>
          <w:u w:val="single"/>
        </w:rPr>
        <w:t>Registration Statement</w:t>
      </w:r>
      <w:r>
        <w:rPr>
          <w:sz w:val="20"/>
        </w:rPr>
        <w:t>”), including a base prospectus (the “</w:t>
      </w:r>
      <w:r>
        <w:rPr>
          <w:sz w:val="20"/>
          <w:u w:val="single"/>
        </w:rPr>
        <w:t>Base Prospectus</w:t>
      </w:r>
      <w:r>
        <w:rPr>
          <w:sz w:val="20"/>
        </w:rPr>
        <w:t>”), which provides that it will be supplemented in the future by one or more prospectus supplements (each, a “</w:t>
      </w:r>
      <w:r>
        <w:rPr>
          <w:sz w:val="20"/>
          <w:u w:val="single"/>
        </w:rPr>
        <w:t>Prospectus Supplement</w:t>
      </w:r>
      <w:r>
        <w:rPr>
          <w:sz w:val="20"/>
        </w:rPr>
        <w:t>”), filed by the Company with the Securities and Exchange Commission (the “</w:t>
      </w:r>
      <w:r>
        <w:rPr>
          <w:sz w:val="20"/>
          <w:u w:val="single"/>
        </w:rPr>
        <w:t>Commission</w:t>
      </w:r>
      <w:r>
        <w:rPr>
          <w:sz w:val="20"/>
        </w:rPr>
        <w:t>”) under the Securities Act of 1933, as amended (the “</w:t>
      </w:r>
      <w:r>
        <w:rPr>
          <w:sz w:val="20"/>
          <w:u w:val="single"/>
        </w:rPr>
        <w:t>Securities Act</w:t>
      </w:r>
      <w:r>
        <w:rPr>
          <w:sz w:val="20"/>
        </w:rPr>
        <w:t>”), on the date hereof, pertaining to the proposed offer and sale pursuant to Rule 415 under the Securities Act from time to time, in one or more offerings, of up to $1,000,000,000 in the aggregate of the securities of the Company described below. The Registration Statement will provide for the registration by the Company of:</w:t>
      </w:r>
    </w:p>
    <w:p>
      <w:pPr>
        <w:pStyle w:val="TextBody"/>
        <w:bidi w:val="0"/>
        <w:spacing w:before="0" w:after="0"/>
        <w:ind w:left="0" w:right="0" w:hanging="0"/>
        <w:jc w:val="both"/>
        <w:rPr/>
      </w:pPr>
      <w:r>
        <w:rPr/>
        <w:t> </w:t>
      </w:r>
    </w:p>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pPr>
            <w:r>
              <w:rPr/>
              <w:t>shares of common stock of the Company (the “</w:t>
            </w:r>
            <w:r>
              <w:rPr>
                <w:u w:val="single"/>
              </w:rPr>
              <w:t>Common Stock</w:t>
            </w:r>
            <w:r>
              <w:rPr/>
              <w:t>”) issuable directly (the “</w:t>
            </w:r>
            <w:r>
              <w:rPr>
                <w:u w:val="single"/>
              </w:rPr>
              <w:t>Shares</w:t>
            </w:r>
            <w:r>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shares of preferred stock, par value $0.01 per share (the “</w:t>
            </w:r>
            <w:r>
              <w:rPr>
                <w:u w:val="single"/>
              </w:rPr>
              <w:t>Preferred Stock</w:t>
            </w:r>
            <w:r>
              <w:rPr/>
              <w:t>”), of the Company issuable directly;</w:t>
            </w:r>
          </w:p>
        </w:tc>
      </w:tr>
    </w:tbl>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debt securities of the Company (the “</w:t>
            </w:r>
            <w:r>
              <w:rPr>
                <w:u w:val="single"/>
              </w:rPr>
              <w:t>Debt Securities</w:t>
            </w:r>
            <w:r>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warrants of the Company (the “</w:t>
            </w:r>
            <w:r>
              <w:rPr>
                <w:u w:val="single"/>
              </w:rPr>
              <w:t>Warrants</w:t>
            </w:r>
            <w:r>
              <w:rPr/>
              <w:t>”) entitling the holders to purchase shares of Common Stock, shares of Preferred Stock, or other securities of the Company;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units (the “</w:t>
            </w:r>
            <w:r>
              <w:rPr>
                <w:u w:val="single"/>
              </w:rPr>
              <w:t>Units</w:t>
            </w:r>
            <w:r>
              <w:rPr/>
              <w:t>”) comprised of any combination of other Securities offered in the Registration Statement (together with the Shares, the Preferred Stock, the Debt Securities, the Warrants, the Units, and any Shares or Preferred Stock that may be issued upon exercise, conversion or exchange pursuant to the terms of any of the foregoing securities, the “</w:t>
            </w:r>
            <w:r>
              <w:rPr>
                <w:u w:val="single"/>
              </w:rPr>
              <w:t>Securities</w:t>
            </w:r>
            <w:r>
              <w:rPr/>
              <w:t>”).</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The Shares are to be issued under the Certificate of Incorporation of the Company, as amended (the “</w:t>
      </w:r>
      <w:r>
        <w:rPr>
          <w:sz w:val="20"/>
          <w:u w:val="single"/>
        </w:rPr>
        <w:t>Certificate of Incorporation</w:t>
      </w:r>
      <w:r>
        <w:rPr>
          <w:sz w:val="20"/>
        </w:rPr>
        <w:t>”). Each series of Preferred Stock is to be issued under the Certificate of Incorporation and a certificate of designation (a “</w:t>
      </w:r>
      <w:r>
        <w:rPr>
          <w:sz w:val="20"/>
          <w:u w:val="single"/>
        </w:rPr>
        <w:t>Certificate of Designation</w:t>
      </w:r>
      <w:r>
        <w:rPr>
          <w:sz w:val="20"/>
        </w:rPr>
        <w:t>”) to be approved by the board of directors of the Company (the “</w:t>
      </w:r>
      <w:r>
        <w:rPr>
          <w:sz w:val="20"/>
          <w:u w:val="single"/>
        </w:rPr>
        <w:t>Board of Directors</w:t>
      </w:r>
      <w:r>
        <w:rPr>
          <w:sz w:val="20"/>
        </w:rPr>
        <w:t>”) or a committee thereof and filed with the Secretary of State of the State of Delaware (the “</w:t>
      </w:r>
      <w:r>
        <w:rPr>
          <w:sz w:val="20"/>
          <w:u w:val="single"/>
        </w:rPr>
        <w:t>Delaware Secretary of State</w:t>
      </w:r>
      <w:r>
        <w:rPr>
          <w:sz w:val="20"/>
        </w:rPr>
        <w:t>”). The Warrants are to be issued under one or more warrant agreements in a form to be filed and incorporated into the Registration Statement, with appropriate insertions (each, a “</w:t>
      </w:r>
      <w:r>
        <w:rPr>
          <w:sz w:val="20"/>
          <w:u w:val="single"/>
        </w:rPr>
        <w:t>Warrant Agreement</w:t>
      </w:r>
      <w:r>
        <w:rPr>
          <w:sz w:val="20"/>
        </w:rPr>
        <w:t>”), to be entered into by the Company, a warrant agent to be named by the Company (the “</w:t>
      </w:r>
      <w:r>
        <w:rPr>
          <w:sz w:val="20"/>
          <w:u w:val="single"/>
        </w:rPr>
        <w:t>Warrant Agent</w:t>
      </w:r>
      <w:r>
        <w:rPr>
          <w:sz w:val="20"/>
        </w:rPr>
        <w:t>”), and the holders from time to time of the Warrants. The Units are to be issued under one or more unit agreements in a form to be filed and incorporated into the Registration Statement, with appropriate insertions (each, a “</w:t>
      </w:r>
      <w:r>
        <w:rPr>
          <w:sz w:val="20"/>
          <w:u w:val="single"/>
        </w:rPr>
        <w:t>Unit Agreement</w:t>
      </w:r>
      <w:r>
        <w:rPr>
          <w:sz w:val="20"/>
        </w:rPr>
        <w:t>”), to be entered into by the Company and the unit agent named therein. The Certificate of Incorporation, each Certificate of Designation, each Warrant Agreement, and each Unit Agreement are referred to herein individually as a “</w:t>
      </w:r>
      <w:r>
        <w:rPr>
          <w:sz w:val="20"/>
          <w:u w:val="single"/>
        </w:rPr>
        <w:t>Governing Document</w:t>
      </w:r>
      <w:r>
        <w:rPr>
          <w:sz w:val="20"/>
        </w:rPr>
        <w:t>” and collectively as the “</w:t>
      </w:r>
      <w:r>
        <w:rPr>
          <w:sz w:val="20"/>
          <w:u w:val="single"/>
        </w:rPr>
        <w:t>Governing Documents</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As part of the corporate actions taken and to be taken in connection with issuance of any Securities to be issued and sold from time to time under the Registration Statement, the Board of Directors, a committee thereof or certain authorized officers of the Company as authorized by the Board of Directors will, before such Securities are issued under the Registration Statement, duly authorize the issuance and approve the terms of such Securities (the “</w:t>
      </w:r>
      <w:r>
        <w:rPr>
          <w:sz w:val="20"/>
          <w:u w:val="single"/>
        </w:rPr>
        <w:t>Corporate Proceedings</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opinion is being furnished in connection with the requirements of Item 601(b)(5) of Regulation S-K under the Act, and no opinion is expressed herein as to any matter pertaining to the contents of the Registration Statement, the Base Prospectus, or any Prospectus Supplement, other than as expressly stated herein with respect to the issue of the Securities. It is understood that the opinions set forth below are to be used only in connection with the offer while the Registration Statement is in effect.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our capacity as your counsel in connection with such registration, we have reviewed and are familiar with such documents, certificates, Corporate Proceedings and other materials, including an examination of originals or copies certified or otherwise identified to our satisfaction of the Certificate of Incorporation and Bylaws of the Company, Governing Documents and the Registration Statement (collectively, the “</w:t>
      </w:r>
      <w:r>
        <w:rPr>
          <w:sz w:val="20"/>
          <w:u w:val="single"/>
        </w:rPr>
        <w:t>Constituent Documents</w:t>
      </w:r>
      <w:r>
        <w:rPr>
          <w:sz w:val="20"/>
        </w:rPr>
        <w:t>”), and have reviewed such questions of law, as we have considered relevant or necessary as a basis for this opinion.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our examination, we have assumed the genuineness of all signatures, the authenticity of all documents submitted to us as originals, and the conformity to authentic original documents of all documents submitted to us as copies. For purposes of this opinion, we have assumed that proper proceedings in connection with the authorization and issuance or sale of the Securities will be timely and properly completed, in accordance with all requirements of applicable federal laws and the General Corporation Law of the State of Delaware (the “</w:t>
      </w:r>
      <w:r>
        <w:rPr>
          <w:sz w:val="20"/>
          <w:u w:val="single"/>
        </w:rPr>
        <w:t>DGCL</w:t>
      </w:r>
      <w:r>
        <w:rPr>
          <w:sz w:val="20"/>
        </w:rPr>
        <w:t>”) and, in the manner presently proposed. We have assumed and have not verified the accuracy of the factual matters of each document we have reviewed.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to facts material to the opinions, statements and assumptions expressed herein, we have, with your consent, relied upon oral or written statements and representations of officers and other representatives of the Company and others. We have specifically relied upon the certification of an officer of the Company signed on even date herewith. In addition, we have obtained and relied upon such certificates and assurances from public officials as we have deemed necessary.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With respect to the Securities to be offered and sold by the Company, we have also assumed that (a) the Registration Statement shall have become and remain effective under the Securities Act, a Prospectus Supplement shall have been prepared and filed with the Commission describing the Securities, and such Securities shall have been issued and sold in accordance with the terms set forth in such Prospectus Supplement; (b) such Securities, as issued and delivered, comply with any requirements and restrictions imposed by any court or governmental or regulatory body applicable to the Company; (c) at the time of any offering or sale of any Securities, there shall be a sufficient number of shares of Common Stock or Preferred Stock, authorized and unissued under the Certificate, and not otherwise reserved for issuance, except in connection with the issuance of the Securities; (d) at the time of issuance or sale of the Securities, the Company shall validly exist and shall be in good standing under the laws of the State of Delaware, and, in the case of Securities, the Company shall have the necessary corporate power for such issuance; (e) any definitive purchase, underwriting or similar agreement with respect to any Securities, if applicable, shall have been duly authorized, executed and delivered by the parties thereto and shall constitute legally valid and binding obligations of the parties thereto, enforceable against each of them in accordance with their respective terms, at the time of issuance of the applicable Securities; (f) certificates representing the Securities, if any, shall have been duly executed, countersigned, registered and delivered, or if uncertificated, valid book-entry notations shall have been made in the share or other register of the Company, in each case in accordance with the, and in the manner contemplated by the Registration Statement and/or the applicable Prospectus Supplement, against payment therefor in an amount not less than the par value thereof, or such other consideration determined by the Board of Directors, or an authorized committee thereof, as permitted under the DGCL, in accordance with the provisions of any applicable definitive purchase agreement, underwriting agreement, or similar agreement approved by the Company; and (g) the Constituent Documents shall be in full force and effect and shall not have been amended, restated, supplemented, or otherwise altered, and there shall be no authorization of any such amendment, restatement, supplement or alteration, in each case since the date hereof.</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Subject to the foregoing and the other matters set forth herein, it is our opinion that as of the date hereof: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With respect to the Shares, upon (a) the completion of all required Corporate Proceedings with respect to the issuance of such Shares, (b) the due execution, registration of issuance and delivery of certificates representing such Shares against payment of the purchase price therefor in accordance with the applicable purchase, underwriting or other agreement, and as contemplated by the Registration Statement, and (c) receipt by the Company of the consideration therefor, such Shares will be duly and validly issued, fully paid and nonassessable. The Shares covered in the opinion in this paragraph includes any Shares that may be issued upon exercise, conversion or exchange pursuant to the terms of any other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2. With respect to any Preferred Stock, upon (a) the completion of all required Corporate Proceedings with respect to the issuance and terms of such Preferred Stock, (b) the due authorization, execution, acknowledgment, delivery and filing with, and recording by, the Delaware Secretary of State of a Certificate of Designation in respect of such Preferred Stock, (c) the due execution, registration of issuance and delivery of certificates representing such Preferred Stock against payment of the purchase price therefor in accordance with the applicable purchase, underwriting or other agreement, and as contemplated by the Registration Statement, and (d) receipt by the Company of the consideration therefor, such Preferred Stock will be duly and validly issued, fully paid and nonassessable. The Preferred Stock covered in the opinion in this paragraph includes any shares of Preferred Stock that may be issued upon exercise, conversion or exchange pursuant to the terms of any other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3. With respect to any Debt Securities, upon (a) the completion of all required Corporate Proceedings with respect to the issuance of such Debt Securities, (b) the due execution, registration of issuance and delivery of the Debt Securities and the applicable Indenture relating to the Debt Securities representing such Debt Securities against payment of the purchase price therefor in accordance with the applicable purchase, underwriting or other agreement, and as contemplated by the Registration Statement, and (c) receipt by the Company of the consideration therefor, such Debt Securities will constitute valid and binding obligations of the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4. With respect to any Warrants, upon (a) the completion of all required Corporate Proceedings relating to the terms and issuance of the Warrants, (b) the due authorization, execution, and delivery of a Warrant Agreement, (c) the preparation and due execution and delivery of the related Warrants against payment of the purchase price therefor in accordance with the applicable purchase, underwriting or other agreement, and as contemplated by the Registration Statement, (d) the due authentication of the related Warrants by the Warrant Agent, and (e) receipt by the Company of the consideration therefor, such Warrants will be valid and binding obligations of the Company. The Warrants covered in the opinion in this paragraph includes any Warrants that may be issued upon exercise, conversion, or exchange pursuant to the terms of any other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5. With respect to any Units, upon (a) the completion of all required Corporate Proceedings relating to the terms and issuance of the Units, (b) the due authorization, execution, and delivery of a Unit Agreement against payment of the purchase price therefor in accordance with the applicable purchase, underwriting or other agreement, and as contemplated by the Registration Statement, (c) the Securities underlying such Units having been deposited with the applicable unit agent, and (d) receipt by the Company of the consideration therefor such Unit Agreement will be a valid and binding obligation of the Company and the Units will be valid and binding obligations of the Company. The Units covered in the opinion in this paragraph includes any Units that may be issued upon exercise, conversion, or exchange pursuant to the terms of any other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opinions set forth above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 may be brought; (iii) the unenforceability under certain circumstances under law or court decisions of provision providing for the indemnification of, or contribution to, a party with respect to liability where such indemnification or contribution is contrary to public policy. We express no opinion concerning the enforceability of any waiver of rights or defenses with respect to stay, extension, or usury laws. Our opinion expressed herein is also subject to the qualification that no term or provision hereof shall be included in: (a) the Certificate of Designation relating to any series of the Preferred Stock, (b) the Indenture, (c) the Warrant Agreement, (d) the Unit Agreement, or (e) any other agreement or instrument pursuant to which any of the Securities are to be issued that would affect the validity of such opinion.</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Our opinion is limited to the federal laws of the United States and the DGCL. We express no opinion as to the effect of the law of any other jurisdiction. Our opinion is rendered as of the date hereof, and we assume no obligation to advise you of changes in law or fact (or the effect thereof on the opinions expressed herein) that hereafter may come to our attention.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hereby consent to the filing of this opinion as Exhibit 5.1 to the Registration Statement and to the reference to our firm under the caption “Legal Matters” in the Registration Statement. In so doing, we do not admit that we are in the category of persons whose consent is required under Section 7 of the Securities Act and the rules and regulations of the Commission promulgated thereunder.</w:t>
      </w:r>
    </w:p>
    <w:p>
      <w:pPr>
        <w:pStyle w:val="TextBody"/>
        <w:bidi w:val="0"/>
        <w:spacing w:before="0" w:after="0"/>
        <w:ind w:left="0" w:right="0" w:hanging="0"/>
        <w:jc w:val="both"/>
        <w:rPr/>
      </w:pPr>
      <w:r>
        <w:rPr/>
        <w:t> </w:t>
      </w:r>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283"/>
              <w:jc w:val="left"/>
              <w:rPr/>
            </w:pPr>
            <w:r>
              <w:rPr/>
              <w:t>Very Truly Yours,</w:t>
            </w:r>
          </w:p>
        </w:tc>
      </w:tr>
      <w:tr>
        <w:trPr/>
        <w:tc>
          <w:tcPr>
            <w:tcW w:w="2645" w:type="dxa"/>
            <w:tcBorders/>
            <w:vAlign w:val="center"/>
          </w:tcPr>
          <w:p>
            <w:pPr>
              <w:pStyle w:val="TableContents"/>
              <w:bidi w:val="0"/>
              <w:spacing w:before="0" w:after="283"/>
              <w:jc w:val="left"/>
              <w:rPr/>
            </w:pPr>
            <w:r>
              <w:rPr/>
              <w:t> </w:t>
            </w:r>
          </w:p>
        </w:tc>
      </w:tr>
      <w:tr>
        <w:trPr/>
        <w:tc>
          <w:tcPr>
            <w:tcW w:w="2645" w:type="dxa"/>
            <w:tcBorders>
              <w:bottom w:val="single" w:sz="8" w:space="0" w:color="000000"/>
            </w:tcBorders>
            <w:tcMar>
              <w:bottom w:w="28" w:type="dxa"/>
            </w:tcMar>
            <w:vAlign w:val="center"/>
          </w:tcPr>
          <w:p>
            <w:pPr>
              <w:pStyle w:val="TableContents"/>
              <w:bidi w:val="0"/>
              <w:spacing w:before="0" w:after="283"/>
              <w:jc w:val="left"/>
              <w:rPr>
                <w:i/>
              </w:rPr>
            </w:pPr>
            <w:r>
              <w:rPr>
                <w:i/>
              </w:rPr>
              <w:t>/s/ Lucosky Brookman LLP</w:t>
            </w:r>
          </w:p>
        </w:tc>
      </w:tr>
      <w:tr>
        <w:trPr/>
        <w:tc>
          <w:tcPr>
            <w:tcW w:w="2645" w:type="dxa"/>
            <w:tcBorders/>
            <w:vAlign w:val="center"/>
          </w:tcPr>
          <w:p>
            <w:pPr>
              <w:pStyle w:val="TableContents"/>
              <w:bidi w:val="0"/>
              <w:spacing w:before="0" w:after="283"/>
              <w:jc w:val="left"/>
              <w:rPr/>
            </w:pPr>
            <w:r>
              <w:rPr/>
              <w:t>Lucosky Brookman LLP</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b/>
        </w:rPr>
      </w:pPr>
      <w:bookmarkStart w:id="19" w:name="exh_231.htm"/>
      <w:bookmarkStart w:id="20" w:name="ksexh_231"/>
      <w:bookmarkEnd w:id="19"/>
      <w:bookmarkEnd w:id="20"/>
      <w:r>
        <w:rPr>
          <w:b/>
        </w:rPr>
        <w:t>Exhibit 23.1</w:t>
      </w:r>
      <w:r>
        <w:br w:type="page"/>
      </w:r>
    </w:p>
    <w:p>
      <w:pPr>
        <w:pStyle w:val="TextBody"/>
        <w:bidi w:val="0"/>
        <w:spacing w:before="0" w:after="283"/>
        <w:jc w:val="left"/>
        <w:rPr/>
      </w:pPr>
      <w:r>
        <w:rPr/>
        <w:t> </w:t>
      </w:r>
    </w:p>
    <w:p>
      <w:pPr>
        <w:pStyle w:val="TextBody"/>
        <w:bidi w:val="0"/>
        <w:ind w:left="12" w:right="0" w:hanging="0"/>
        <w:jc w:val="center"/>
        <w:rPr>
          <w:b/>
          <w:sz w:val="20"/>
        </w:rPr>
      </w:pPr>
      <w:r>
        <w:rPr>
          <w:b/>
          <w:sz w:val="20"/>
        </w:rPr>
        <w:t>Consent of Independent Registered Public Accounting Firm</w:t>
      </w:r>
    </w:p>
    <w:p>
      <w:pPr>
        <w:pStyle w:val="TextBody"/>
        <w:bidi w:val="0"/>
        <w:spacing w:before="25" w:after="25"/>
        <w:ind w:left="25" w:right="25" w:hanging="0"/>
        <w:jc w:val="left"/>
        <w:rPr/>
      </w:pPr>
      <w:r>
        <w:rPr/>
        <w:t> </w:t>
      </w:r>
    </w:p>
    <w:p>
      <w:pPr>
        <w:pStyle w:val="TextBody"/>
        <w:bidi w:val="0"/>
        <w:spacing w:before="1" w:after="0"/>
        <w:ind w:left="0" w:right="0" w:hanging="0"/>
        <w:jc w:val="left"/>
        <w:rPr>
          <w:sz w:val="20"/>
        </w:rPr>
      </w:pPr>
      <w:r>
        <w:rPr>
          <w:sz w:val="20"/>
        </w:rPr>
        <w:t>We consent to the use of our reports dated March 31, 2026, with respect to the consolidated financial statements of Axe Compute Inc. and subsidiaries, incorporated herein by reference, and to the reference to our firm under the heading "Experts" in the prospectus.</w:t>
      </w:r>
    </w:p>
    <w:p>
      <w:pPr>
        <w:pStyle w:val="TextBody"/>
        <w:bidi w:val="0"/>
        <w:spacing w:before="1" w:after="0"/>
        <w:ind w:left="0" w:right="0" w:hanging="0"/>
        <w:jc w:val="left"/>
        <w:rPr/>
      </w:pPr>
      <w:r>
        <w:rPr/>
        <w:t> </w:t>
      </w:r>
    </w:p>
    <w:p>
      <w:pPr>
        <w:pStyle w:val="TextBody"/>
        <w:bidi w:val="0"/>
        <w:spacing w:before="1" w:after="0"/>
        <w:ind w:left="0" w:right="0" w:hanging="0"/>
        <w:jc w:val="left"/>
        <w:rPr>
          <w:sz w:val="20"/>
        </w:rPr>
      </w:pPr>
      <w:r>
        <w:rPr>
          <w:sz w:val="20"/>
        </w:rPr>
        <w:t>/s/ KPMG LLP</w:t>
      </w:r>
    </w:p>
    <w:p>
      <w:pPr>
        <w:pStyle w:val="TextBody"/>
        <w:bidi w:val="0"/>
        <w:spacing w:before="1" w:after="0"/>
        <w:ind w:left="0" w:right="0" w:hanging="0"/>
        <w:jc w:val="left"/>
        <w:rPr>
          <w:sz w:val="20"/>
        </w:rPr>
      </w:pPr>
      <w:r>
        <w:rPr>
          <w:sz w:val="20"/>
        </w:rPr>
        <w:t>Pittsburgh, Pennsylvania</w:t>
      </w:r>
    </w:p>
    <w:p>
      <w:pPr>
        <w:pStyle w:val="TextBody"/>
        <w:bidi w:val="0"/>
        <w:spacing w:before="1" w:after="0"/>
        <w:ind w:left="0" w:right="0" w:hanging="0"/>
        <w:jc w:val="left"/>
        <w:rPr>
          <w:sz w:val="20"/>
        </w:rPr>
      </w:pPr>
      <w:r>
        <w:rPr>
          <w:sz w:val="20"/>
        </w:rPr>
        <w:t>June 9, 2026</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1" w:name="exh_107.htm"/>
      <w:bookmarkStart w:id="22" w:name="ksexh_107"/>
      <w:bookmarkStart w:id="23" w:name="exh_107.htm"/>
      <w:bookmarkStart w:id="24" w:name="ksexh_107"/>
      <w:bookmarkEnd w:id="23"/>
      <w:bookmarkEnd w:id="24"/>
      <w:r>
        <w:br w:type="page"/>
      </w:r>
    </w:p>
    <w:tbl>
      <w:tblPr>
        <w:tblW w:w="3040" w:type="dxa"/>
        <w:jc w:val="left"/>
        <w:tblInd w:w="0" w:type="dxa"/>
        <w:tblLayout w:type="fixed"/>
        <w:tblCellMar>
          <w:top w:w="28" w:type="dxa"/>
          <w:left w:w="28" w:type="dxa"/>
          <w:bottom w:w="28" w:type="dxa"/>
          <w:right w:w="28" w:type="dxa"/>
        </w:tblCellMar>
      </w:tblPr>
      <w:tblGrid>
        <w:gridCol w:w="2886"/>
        <w:gridCol w:w="154"/>
      </w:tblGrid>
      <w:tr>
        <w:trPr/>
        <w:tc>
          <w:tcPr>
            <w:tcW w:w="3040" w:type="dxa"/>
            <w:gridSpan w:val="2"/>
            <w:tcBorders/>
            <w:vAlign w:val="center"/>
          </w:tcPr>
          <w:p>
            <w:pPr>
              <w:pStyle w:val="TableContents"/>
              <w:bidi w:val="0"/>
              <w:jc w:val="right"/>
              <w:rPr>
                <w:sz w:val="20"/>
              </w:rPr>
            </w:pPr>
            <w:r>
              <w:rPr>
                <w:b/>
                <w:sz w:val="20"/>
              </w:rPr>
              <w:t>Exhibit 107</w:t>
            </w:r>
            <w:r>
              <w:rPr>
                <w:sz w:val="20"/>
              </w:rPr>
              <w:t xml:space="preserve"> </w:t>
            </w:r>
          </w:p>
          <w:p>
            <w:pPr>
              <w:pStyle w:val="TableContents"/>
              <w:bidi w:val="0"/>
              <w:spacing w:before="0" w:after="283"/>
              <w:jc w:val="left"/>
              <w:rPr>
                <w:sz w:val="20"/>
              </w:rPr>
            </w:pPr>
            <w:r>
              <w:rPr>
                <w:b/>
                <w:sz w:val="20"/>
              </w:rPr>
              <w:t>Calculation of Filing Fee Tables</w:t>
            </w:r>
            <w:r>
              <w:rPr>
                <w:sz w:val="20"/>
              </w:rPr>
              <w:t xml:space="preserve"> </w:t>
            </w:r>
          </w:p>
        </w:tc>
      </w:tr>
      <w:tr>
        <w:trPr/>
        <w:tc>
          <w:tcPr>
            <w:tcW w:w="2886" w:type="dxa"/>
            <w:tcBorders/>
            <w:vAlign w:val="center"/>
          </w:tcPr>
          <w:p>
            <w:pPr>
              <w:pStyle w:val="TableContents"/>
              <w:bidi w:val="0"/>
              <w:spacing w:before="0" w:after="283"/>
              <w:jc w:val="left"/>
              <w:rPr>
                <w:b/>
                <w:sz w:val="20"/>
              </w:rPr>
            </w:pPr>
            <w:r>
              <w:rPr>
                <w:b/>
                <w:sz w:val="20"/>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2886" w:type="dxa"/>
            <w:tcBorders/>
            <w:vAlign w:val="center"/>
          </w:tcPr>
          <w:p>
            <w:pPr>
              <w:pStyle w:val="TableContents"/>
              <w:bidi w:val="0"/>
              <w:spacing w:before="0" w:after="283"/>
              <w:jc w:val="left"/>
              <w:rPr>
                <w:b/>
                <w:sz w:val="20"/>
              </w:rPr>
            </w:pPr>
            <w:r>
              <w:rPr>
                <w:b/>
                <w:sz w:val="20"/>
              </w:rPr>
              <w:t xml:space="preserve">Axe Compute Inc. </w:t>
            </w:r>
          </w:p>
        </w:tc>
        <w:tc>
          <w:tcPr>
            <w:tcW w:w="154" w:type="dxa"/>
            <w:tcBorders/>
          </w:tcPr>
          <w:p>
            <w:pPr>
              <w:pStyle w:val="TableContents"/>
              <w:bidi w:val="0"/>
              <w:spacing w:before="0" w:after="283"/>
              <w:jc w:val="left"/>
              <w:rPr>
                <w:sz w:val="4"/>
                <w:szCs w:val="4"/>
              </w:rPr>
            </w:pPr>
            <w:r>
              <w:rPr>
                <w:sz w:val="4"/>
                <w:szCs w:val="4"/>
              </w:rPr>
            </w:r>
          </w:p>
        </w:tc>
      </w:tr>
    </w:tbl>
    <w:tbl>
      <w:tblPr>
        <w:tblW w:w="6647" w:type="dxa"/>
        <w:jc w:val="left"/>
        <w:tblInd w:w="0" w:type="dxa"/>
        <w:tblLayout w:type="fixed"/>
        <w:tblCellMar>
          <w:top w:w="28" w:type="dxa"/>
          <w:left w:w="28" w:type="dxa"/>
          <w:bottom w:w="28" w:type="dxa"/>
          <w:right w:w="28" w:type="dxa"/>
        </w:tblCellMar>
      </w:tblPr>
      <w:tblGrid>
        <w:gridCol w:w="4981"/>
        <w:gridCol w:w="1666"/>
      </w:tblGrid>
      <w:tr>
        <w:trPr/>
        <w:tc>
          <w:tcPr>
            <w:tcW w:w="4981" w:type="dxa"/>
            <w:tcBorders/>
            <w:vAlign w:val="center"/>
          </w:tcPr>
          <w:p>
            <w:pPr>
              <w:pStyle w:val="TableHeading"/>
              <w:bidi w:val="0"/>
              <w:spacing w:before="0" w:after="283"/>
              <w:jc w:val="left"/>
              <w:rPr>
                <w:sz w:val="20"/>
              </w:rPr>
            </w:pPr>
            <w:r>
              <w:rPr>
                <w:b/>
                <w:sz w:val="20"/>
              </w:rPr>
              <w:t>Table 1: Newly Registered and Carry Forward Securities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3814" w:type="dxa"/>
        <w:jc w:val="left"/>
        <w:tblInd w:w="0" w:type="dxa"/>
        <w:tblLayout w:type="fixed"/>
        <w:tblCellMar>
          <w:top w:w="28" w:type="dxa"/>
          <w:left w:w="28" w:type="dxa"/>
          <w:bottom w:w="28" w:type="dxa"/>
          <w:right w:w="28" w:type="dxa"/>
        </w:tblCellMar>
      </w:tblPr>
      <w:tblGrid>
        <w:gridCol w:w="991"/>
        <w:gridCol w:w="211"/>
        <w:gridCol w:w="1096"/>
        <w:gridCol w:w="871"/>
        <w:gridCol w:w="1096"/>
        <w:gridCol w:w="1006"/>
        <w:gridCol w:w="991"/>
        <w:gridCol w:w="1696"/>
        <w:gridCol w:w="991"/>
        <w:gridCol w:w="1186"/>
        <w:gridCol w:w="856"/>
        <w:gridCol w:w="856"/>
        <w:gridCol w:w="856"/>
        <w:gridCol w:w="1111"/>
      </w:tblGrid>
      <w:tr>
        <w:trPr/>
        <w:tc>
          <w:tcPr>
            <w:tcW w:w="991" w:type="dxa"/>
            <w:tcBorders/>
            <w:shd w:fill="9ADAF6" w:val="clear"/>
            <w:vAlign w:val="center"/>
          </w:tcPr>
          <w:p>
            <w:pPr>
              <w:pStyle w:val="TableHeading"/>
              <w:bidi w:val="0"/>
              <w:spacing w:before="0" w:after="283"/>
              <w:rPr>
                <w:sz w:val="4"/>
                <w:szCs w:val="4"/>
              </w:rPr>
            </w:pPr>
            <w:r>
              <w:rPr>
                <w:sz w:val="4"/>
                <w:szCs w:val="4"/>
              </w:rPr>
            </w:r>
          </w:p>
        </w:tc>
        <w:tc>
          <w:tcPr>
            <w:tcW w:w="211" w:type="dxa"/>
            <w:tcBorders/>
            <w:shd w:fill="9ADAF6" w:val="clear"/>
            <w:vAlign w:val="center"/>
          </w:tcPr>
          <w:p>
            <w:pPr>
              <w:pStyle w:val="TableHeading"/>
              <w:bidi w:val="0"/>
              <w:spacing w:before="0" w:after="283"/>
              <w:rPr>
                <w:sz w:val="4"/>
                <w:szCs w:val="4"/>
              </w:rPr>
            </w:pPr>
            <w:r>
              <w:rPr>
                <w:sz w:val="4"/>
                <w:szCs w:val="4"/>
              </w:rPr>
            </w:r>
          </w:p>
        </w:tc>
        <w:tc>
          <w:tcPr>
            <w:tcW w:w="1096" w:type="dxa"/>
            <w:tcBorders/>
            <w:shd w:fill="9ADAF6" w:val="clear"/>
            <w:vAlign w:val="center"/>
          </w:tcPr>
          <w:p>
            <w:pPr>
              <w:pStyle w:val="TableHeading"/>
              <w:bidi w:val="0"/>
              <w:spacing w:before="0" w:after="0"/>
              <w:ind w:left="0" w:right="0" w:hanging="0"/>
              <w:jc w:val="center"/>
              <w:rPr>
                <w:sz w:val="20"/>
              </w:rPr>
            </w:pPr>
            <w:r>
              <w:rPr>
                <w:b/>
                <w:sz w:val="20"/>
              </w:rPr>
              <w:t>Security Type</w:t>
            </w:r>
            <w:r>
              <w:rPr>
                <w:sz w:val="20"/>
              </w:rPr>
              <w:t xml:space="preserve"> </w:t>
            </w:r>
          </w:p>
        </w:tc>
        <w:tc>
          <w:tcPr>
            <w:tcW w:w="871" w:type="dxa"/>
            <w:tcBorders/>
            <w:shd w:fill="9ADAF6" w:val="clear"/>
            <w:vAlign w:val="center"/>
          </w:tcPr>
          <w:p>
            <w:pPr>
              <w:pStyle w:val="TableHeading"/>
              <w:bidi w:val="0"/>
              <w:spacing w:before="0" w:after="0"/>
              <w:ind w:left="0" w:right="0" w:hanging="0"/>
              <w:jc w:val="center"/>
              <w:rPr>
                <w:b/>
                <w:sz w:val="20"/>
              </w:rPr>
            </w:pPr>
            <w:r>
              <w:rPr>
                <w:b/>
                <w:sz w:val="20"/>
              </w:rPr>
              <w:t xml:space="preserve">Security Class Title </w:t>
            </w:r>
          </w:p>
        </w:tc>
        <w:tc>
          <w:tcPr>
            <w:tcW w:w="1096" w:type="dxa"/>
            <w:tcBorders/>
            <w:shd w:fill="9ADAF6" w:val="clear"/>
            <w:vAlign w:val="center"/>
          </w:tcPr>
          <w:p>
            <w:pPr>
              <w:pStyle w:val="TableHeading"/>
              <w:bidi w:val="0"/>
              <w:spacing w:before="0" w:after="0"/>
              <w:ind w:left="0" w:right="0" w:hanging="0"/>
              <w:jc w:val="center"/>
              <w:rPr>
                <w:sz w:val="20"/>
              </w:rPr>
            </w:pPr>
            <w:r>
              <w:rPr>
                <w:b/>
                <w:sz w:val="20"/>
              </w:rPr>
              <w:t>Fee Calculation or Carry Forward Rule</w:t>
            </w:r>
            <w:r>
              <w:rPr>
                <w:sz w:val="20"/>
              </w:rPr>
              <w:t xml:space="preserve"> </w:t>
            </w:r>
          </w:p>
        </w:tc>
        <w:tc>
          <w:tcPr>
            <w:tcW w:w="1006" w:type="dxa"/>
            <w:tcBorders/>
            <w:shd w:fill="9ADAF6" w:val="clear"/>
            <w:vAlign w:val="center"/>
          </w:tcPr>
          <w:p>
            <w:pPr>
              <w:pStyle w:val="TableHeading"/>
              <w:bidi w:val="0"/>
              <w:spacing w:before="0" w:after="0"/>
              <w:ind w:left="0" w:right="0" w:hanging="0"/>
              <w:jc w:val="center"/>
              <w:rPr>
                <w:sz w:val="20"/>
              </w:rPr>
            </w:pPr>
            <w:r>
              <w:rPr>
                <w:b/>
                <w:sz w:val="20"/>
              </w:rPr>
              <w:t>Amount Registered</w:t>
            </w:r>
            <w:r>
              <w:rPr>
                <w:sz w:val="20"/>
              </w:rPr>
              <w:t xml:space="preserve"> </w:t>
            </w:r>
          </w:p>
        </w:tc>
        <w:tc>
          <w:tcPr>
            <w:tcW w:w="991" w:type="dxa"/>
            <w:tcBorders/>
            <w:shd w:fill="9ADAF6" w:val="clear"/>
            <w:vAlign w:val="center"/>
          </w:tcPr>
          <w:p>
            <w:pPr>
              <w:pStyle w:val="TableHeading"/>
              <w:bidi w:val="0"/>
              <w:spacing w:before="0" w:after="0"/>
              <w:ind w:left="0" w:right="0" w:hanging="0"/>
              <w:jc w:val="center"/>
              <w:rPr>
                <w:sz w:val="20"/>
              </w:rPr>
            </w:pPr>
            <w:r>
              <w:rPr>
                <w:b/>
                <w:sz w:val="20"/>
              </w:rPr>
              <w:t>Proposed Maximum Offering Price Per Unit</w:t>
            </w:r>
            <w:r>
              <w:rPr>
                <w:sz w:val="20"/>
              </w:rPr>
              <w:t xml:space="preserve"> </w:t>
            </w:r>
          </w:p>
        </w:tc>
        <w:tc>
          <w:tcPr>
            <w:tcW w:w="1696" w:type="dxa"/>
            <w:tcBorders/>
            <w:shd w:fill="9ADAF6" w:val="clear"/>
            <w:vAlign w:val="center"/>
          </w:tcPr>
          <w:p>
            <w:pPr>
              <w:pStyle w:val="TableHeading"/>
              <w:bidi w:val="0"/>
              <w:spacing w:before="0" w:after="0"/>
              <w:ind w:left="0" w:right="0" w:hanging="0"/>
              <w:jc w:val="center"/>
              <w:rPr>
                <w:sz w:val="20"/>
              </w:rPr>
            </w:pPr>
            <w:r>
              <w:rPr>
                <w:b/>
                <w:sz w:val="20"/>
              </w:rPr>
              <w:t>Maximum Aggregate Offering Price</w:t>
            </w:r>
            <w:r>
              <w:rPr>
                <w:sz w:val="20"/>
              </w:rPr>
              <w:t xml:space="preserve"> </w:t>
            </w:r>
          </w:p>
        </w:tc>
        <w:tc>
          <w:tcPr>
            <w:tcW w:w="991" w:type="dxa"/>
            <w:tcBorders/>
            <w:shd w:fill="9ADAF6" w:val="clear"/>
            <w:vAlign w:val="center"/>
          </w:tcPr>
          <w:p>
            <w:pPr>
              <w:pStyle w:val="TableHeading"/>
              <w:bidi w:val="0"/>
              <w:spacing w:before="0" w:after="0"/>
              <w:ind w:left="0" w:right="0" w:hanging="0"/>
              <w:jc w:val="center"/>
              <w:rPr>
                <w:sz w:val="20"/>
              </w:rPr>
            </w:pPr>
            <w:r>
              <w:rPr>
                <w:b/>
                <w:sz w:val="20"/>
              </w:rPr>
              <w:t>Fee Rate</w:t>
            </w:r>
            <w:r>
              <w:rPr>
                <w:sz w:val="20"/>
              </w:rPr>
              <w:t xml:space="preserve"> </w:t>
            </w:r>
          </w:p>
        </w:tc>
        <w:tc>
          <w:tcPr>
            <w:tcW w:w="1186" w:type="dxa"/>
            <w:tcBorders/>
            <w:shd w:fill="9ADAF6" w:val="clear"/>
            <w:vAlign w:val="center"/>
          </w:tcPr>
          <w:p>
            <w:pPr>
              <w:pStyle w:val="TableHeading"/>
              <w:bidi w:val="0"/>
              <w:spacing w:before="0" w:after="0"/>
              <w:ind w:left="0" w:right="0" w:hanging="0"/>
              <w:jc w:val="center"/>
              <w:rPr>
                <w:sz w:val="20"/>
              </w:rPr>
            </w:pPr>
            <w:r>
              <w:rPr>
                <w:b/>
                <w:sz w:val="20"/>
              </w:rPr>
              <w:t>Amount of Registration Fee</w:t>
            </w:r>
            <w:r>
              <w:rPr>
                <w:sz w:val="20"/>
              </w:rPr>
              <w:t xml:space="preserve"> </w:t>
            </w:r>
          </w:p>
        </w:tc>
        <w:tc>
          <w:tcPr>
            <w:tcW w:w="856" w:type="dxa"/>
            <w:tcBorders/>
            <w:shd w:fill="9ADAF6" w:val="clear"/>
            <w:vAlign w:val="center"/>
          </w:tcPr>
          <w:p>
            <w:pPr>
              <w:pStyle w:val="TableHeading"/>
              <w:bidi w:val="0"/>
              <w:spacing w:before="0" w:after="0"/>
              <w:ind w:left="0" w:right="0" w:hanging="0"/>
              <w:jc w:val="center"/>
              <w:rPr>
                <w:sz w:val="20"/>
              </w:rPr>
            </w:pPr>
            <w:r>
              <w:rPr>
                <w:b/>
                <w:sz w:val="20"/>
              </w:rPr>
              <w:t>Carry Forward Form Type</w:t>
            </w:r>
            <w:r>
              <w:rPr>
                <w:sz w:val="20"/>
              </w:rPr>
              <w:t xml:space="preserve"> </w:t>
            </w:r>
          </w:p>
        </w:tc>
        <w:tc>
          <w:tcPr>
            <w:tcW w:w="856" w:type="dxa"/>
            <w:tcBorders/>
            <w:shd w:fill="9ADAF6" w:val="clear"/>
            <w:vAlign w:val="center"/>
          </w:tcPr>
          <w:p>
            <w:pPr>
              <w:pStyle w:val="TableHeading"/>
              <w:bidi w:val="0"/>
              <w:spacing w:before="0" w:after="0"/>
              <w:ind w:left="0" w:right="0" w:hanging="0"/>
              <w:jc w:val="center"/>
              <w:rPr>
                <w:sz w:val="20"/>
              </w:rPr>
            </w:pPr>
            <w:r>
              <w:rPr>
                <w:b/>
                <w:sz w:val="20"/>
              </w:rPr>
              <w:t>Carry Forward File Number</w:t>
            </w:r>
            <w:r>
              <w:rPr>
                <w:sz w:val="20"/>
              </w:rPr>
              <w:t xml:space="preserve"> </w:t>
            </w:r>
          </w:p>
        </w:tc>
        <w:tc>
          <w:tcPr>
            <w:tcW w:w="856" w:type="dxa"/>
            <w:tcBorders/>
            <w:shd w:fill="9ADAF6" w:val="clear"/>
            <w:vAlign w:val="center"/>
          </w:tcPr>
          <w:p>
            <w:pPr>
              <w:pStyle w:val="TableHeading"/>
              <w:bidi w:val="0"/>
              <w:spacing w:before="0" w:after="0"/>
              <w:ind w:left="0" w:right="0" w:hanging="0"/>
              <w:jc w:val="center"/>
              <w:rPr>
                <w:sz w:val="20"/>
              </w:rPr>
            </w:pPr>
            <w:r>
              <w:rPr>
                <w:b/>
                <w:sz w:val="20"/>
              </w:rPr>
              <w:t>Carry Forward Initial Effective Date</w:t>
            </w:r>
            <w:r>
              <w:rPr>
                <w:sz w:val="20"/>
              </w:rPr>
              <w:t xml:space="preserve"> </w:t>
            </w:r>
          </w:p>
        </w:tc>
        <w:tc>
          <w:tcPr>
            <w:tcW w:w="1111" w:type="dxa"/>
            <w:tcBorders/>
            <w:shd w:fill="9ADAF6" w:val="clear"/>
            <w:vAlign w:val="center"/>
          </w:tcPr>
          <w:p>
            <w:pPr>
              <w:pStyle w:val="TableHeading"/>
              <w:bidi w:val="0"/>
              <w:spacing w:before="0" w:after="0"/>
              <w:ind w:left="0" w:right="0" w:hanging="0"/>
              <w:jc w:val="center"/>
              <w:rPr>
                <w:sz w:val="20"/>
              </w:rPr>
            </w:pPr>
            <w:r>
              <w:rPr>
                <w:b/>
                <w:sz w:val="20"/>
              </w:rPr>
              <w:t>Filing Fee Previously Paid in Connection with Unsold Securities to be Carried Forward</w:t>
            </w:r>
            <w:r>
              <w:rPr>
                <w:sz w:val="20"/>
              </w:rPr>
              <w:t xml:space="preserve"> </w:t>
            </w:r>
          </w:p>
        </w:tc>
      </w:tr>
      <w:tr>
        <w:trPr/>
        <w:tc>
          <w:tcPr>
            <w:tcW w:w="13814" w:type="dxa"/>
            <w:gridSpan w:val="14"/>
            <w:tcBorders/>
            <w:vAlign w:val="center"/>
          </w:tcPr>
          <w:p>
            <w:pPr>
              <w:pStyle w:val="TableContents"/>
              <w:bidi w:val="0"/>
              <w:spacing w:before="0" w:after="283"/>
              <w:jc w:val="center"/>
              <w:rPr>
                <w:sz w:val="20"/>
              </w:rPr>
            </w:pPr>
            <w:r>
              <w:rPr>
                <w:b/>
                <w:sz w:val="20"/>
              </w:rPr>
              <w:t>Newly Registered Securities</w:t>
            </w:r>
            <w:r>
              <w:rPr>
                <w:sz w:val="20"/>
              </w:rPr>
              <w:t xml:space="preserve"> </w:t>
            </w:r>
          </w:p>
        </w:tc>
      </w:tr>
      <w:tr>
        <w:trPr/>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ind w:left="0" w:right="0" w:hanging="0"/>
              <w:jc w:val="left"/>
              <w:rPr>
                <w:sz w:val="20"/>
              </w:rPr>
            </w:pPr>
            <w:r>
              <w:rPr>
                <w:sz w:val="20"/>
              </w:rPr>
              <w:t xml:space="preserve">Equity </w:t>
            </w:r>
          </w:p>
        </w:tc>
        <w:tc>
          <w:tcPr>
            <w:tcW w:w="871" w:type="dxa"/>
            <w:tcBorders/>
            <w:shd w:fill="E7E7E2" w:val="clear"/>
            <w:vAlign w:val="center"/>
          </w:tcPr>
          <w:p>
            <w:pPr>
              <w:pStyle w:val="TableContents"/>
              <w:bidi w:val="0"/>
              <w:spacing w:before="0" w:after="283"/>
              <w:jc w:val="left"/>
              <w:rPr>
                <w:sz w:val="20"/>
              </w:rPr>
            </w:pPr>
            <w:r>
              <w:rPr>
                <w:sz w:val="20"/>
              </w:rPr>
              <w:t xml:space="preserve">Common stock, $0.01 par value per share </w:t>
            </w:r>
          </w:p>
        </w:tc>
        <w:tc>
          <w:tcPr>
            <w:tcW w:w="1096" w:type="dxa"/>
            <w:tcBorders/>
            <w:shd w:fill="E7E7E2" w:val="clear"/>
            <w:vAlign w:val="center"/>
          </w:tcPr>
          <w:p>
            <w:pPr>
              <w:pStyle w:val="TableContents"/>
              <w:bidi w:val="0"/>
              <w:spacing w:before="0" w:after="283"/>
              <w:jc w:val="center"/>
              <w:rPr>
                <w:sz w:val="20"/>
              </w:rPr>
            </w:pPr>
            <w:r>
              <w:rPr>
                <w:sz w:val="20"/>
              </w:rPr>
              <w:t xml:space="preserve">457(o)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ind w:left="0" w:right="0" w:hanging="0"/>
              <w:jc w:val="left"/>
              <w:rPr>
                <w:sz w:val="20"/>
              </w:rPr>
            </w:pPr>
            <w:r>
              <w:rPr>
                <w:sz w:val="20"/>
              </w:rPr>
              <w:t xml:space="preserve">Equity </w:t>
            </w:r>
          </w:p>
        </w:tc>
        <w:tc>
          <w:tcPr>
            <w:tcW w:w="871" w:type="dxa"/>
            <w:tcBorders/>
            <w:shd w:fill="E7E7E2" w:val="clear"/>
            <w:vAlign w:val="center"/>
          </w:tcPr>
          <w:p>
            <w:pPr>
              <w:pStyle w:val="TableContents"/>
              <w:bidi w:val="0"/>
              <w:spacing w:before="0" w:after="283"/>
              <w:jc w:val="left"/>
              <w:rPr>
                <w:sz w:val="20"/>
              </w:rPr>
            </w:pPr>
            <w:r>
              <w:rPr>
                <w:sz w:val="20"/>
              </w:rPr>
              <w:t xml:space="preserve">Preferred stock, $0.01 par value per share </w:t>
            </w:r>
          </w:p>
        </w:tc>
        <w:tc>
          <w:tcPr>
            <w:tcW w:w="1096" w:type="dxa"/>
            <w:tcBorders/>
            <w:shd w:fill="E7E7E2" w:val="clear"/>
            <w:vAlign w:val="center"/>
          </w:tcPr>
          <w:p>
            <w:pPr>
              <w:pStyle w:val="TableContents"/>
              <w:bidi w:val="0"/>
              <w:spacing w:before="0" w:after="283"/>
              <w:jc w:val="center"/>
              <w:rPr>
                <w:sz w:val="20"/>
              </w:rPr>
            </w:pPr>
            <w:r>
              <w:rPr>
                <w:sz w:val="20"/>
              </w:rPr>
              <w:t xml:space="preserve">457(o)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ind w:left="0" w:right="0" w:hanging="0"/>
              <w:jc w:val="left"/>
              <w:rPr>
                <w:sz w:val="20"/>
              </w:rPr>
            </w:pPr>
            <w:r>
              <w:rPr>
                <w:sz w:val="20"/>
              </w:rPr>
              <w:t xml:space="preserve">Debt </w:t>
            </w:r>
          </w:p>
        </w:tc>
        <w:tc>
          <w:tcPr>
            <w:tcW w:w="871" w:type="dxa"/>
            <w:tcBorders/>
            <w:shd w:fill="E7E7E2" w:val="clear"/>
            <w:vAlign w:val="center"/>
          </w:tcPr>
          <w:p>
            <w:pPr>
              <w:pStyle w:val="TableContents"/>
              <w:bidi w:val="0"/>
              <w:spacing w:before="0" w:after="283"/>
              <w:jc w:val="left"/>
              <w:rPr>
                <w:sz w:val="20"/>
              </w:rPr>
            </w:pPr>
            <w:r>
              <w:rPr>
                <w:sz w:val="20"/>
              </w:rPr>
              <w:t xml:space="preserve">Debt securities </w:t>
            </w:r>
          </w:p>
        </w:tc>
        <w:tc>
          <w:tcPr>
            <w:tcW w:w="1096" w:type="dxa"/>
            <w:tcBorders/>
            <w:shd w:fill="E7E7E2" w:val="clear"/>
            <w:vAlign w:val="center"/>
          </w:tcPr>
          <w:p>
            <w:pPr>
              <w:pStyle w:val="TableContents"/>
              <w:bidi w:val="0"/>
              <w:spacing w:before="0" w:after="283"/>
              <w:jc w:val="center"/>
              <w:rPr>
                <w:sz w:val="20"/>
              </w:rPr>
            </w:pPr>
            <w:r>
              <w:rPr>
                <w:sz w:val="20"/>
              </w:rPr>
              <w:t xml:space="preserve">457(o)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ind w:left="0" w:right="0" w:hanging="0"/>
              <w:jc w:val="left"/>
              <w:rPr>
                <w:sz w:val="20"/>
              </w:rPr>
            </w:pPr>
            <w:r>
              <w:rPr>
                <w:sz w:val="20"/>
              </w:rPr>
              <w:t xml:space="preserve">Other </w:t>
            </w:r>
          </w:p>
        </w:tc>
        <w:tc>
          <w:tcPr>
            <w:tcW w:w="871" w:type="dxa"/>
            <w:tcBorders/>
            <w:shd w:fill="E7E7E2" w:val="clear"/>
            <w:vAlign w:val="center"/>
          </w:tcPr>
          <w:p>
            <w:pPr>
              <w:pStyle w:val="TableContents"/>
              <w:bidi w:val="0"/>
              <w:spacing w:before="0" w:after="283"/>
              <w:jc w:val="left"/>
              <w:rPr>
                <w:sz w:val="20"/>
              </w:rPr>
            </w:pPr>
            <w:r>
              <w:rPr>
                <w:sz w:val="20"/>
              </w:rPr>
              <w:t xml:space="preserve">Warrants </w:t>
            </w:r>
          </w:p>
        </w:tc>
        <w:tc>
          <w:tcPr>
            <w:tcW w:w="1096" w:type="dxa"/>
            <w:tcBorders/>
            <w:shd w:fill="E7E7E2" w:val="clear"/>
            <w:vAlign w:val="center"/>
          </w:tcPr>
          <w:p>
            <w:pPr>
              <w:pStyle w:val="TableContents"/>
              <w:bidi w:val="0"/>
              <w:spacing w:before="0" w:after="283"/>
              <w:jc w:val="center"/>
              <w:rPr>
                <w:sz w:val="20"/>
              </w:rPr>
            </w:pPr>
            <w:r>
              <w:rPr>
                <w:sz w:val="20"/>
              </w:rPr>
              <w:t xml:space="preserve">457(o)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ind w:left="0" w:right="0" w:hanging="0"/>
              <w:jc w:val="left"/>
              <w:rPr>
                <w:sz w:val="20"/>
              </w:rPr>
            </w:pPr>
            <w:r>
              <w:rPr>
                <w:sz w:val="20"/>
              </w:rPr>
              <w:t xml:space="preserve">Other </w:t>
            </w:r>
          </w:p>
        </w:tc>
        <w:tc>
          <w:tcPr>
            <w:tcW w:w="871" w:type="dxa"/>
            <w:tcBorders/>
            <w:shd w:fill="E7E7E2" w:val="clear"/>
            <w:vAlign w:val="center"/>
          </w:tcPr>
          <w:p>
            <w:pPr>
              <w:pStyle w:val="TableContents"/>
              <w:bidi w:val="0"/>
              <w:spacing w:before="0" w:after="283"/>
              <w:jc w:val="left"/>
              <w:rPr>
                <w:sz w:val="20"/>
              </w:rPr>
            </w:pPr>
            <w:r>
              <w:rPr>
                <w:sz w:val="20"/>
              </w:rPr>
              <w:t xml:space="preserve">Units </w:t>
            </w:r>
          </w:p>
        </w:tc>
        <w:tc>
          <w:tcPr>
            <w:tcW w:w="1096" w:type="dxa"/>
            <w:tcBorders/>
            <w:shd w:fill="E7E7E2" w:val="clear"/>
            <w:vAlign w:val="center"/>
          </w:tcPr>
          <w:p>
            <w:pPr>
              <w:pStyle w:val="TableContents"/>
              <w:bidi w:val="0"/>
              <w:spacing w:before="0" w:after="283"/>
              <w:jc w:val="center"/>
              <w:rPr>
                <w:sz w:val="20"/>
              </w:rPr>
            </w:pPr>
            <w:r>
              <w:rPr>
                <w:sz w:val="20"/>
              </w:rPr>
              <w:t xml:space="preserve">457(o)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shd w:fill="E7E7E2" w:val="clear"/>
            <w:vAlign w:val="center"/>
          </w:tcPr>
          <w:p>
            <w:pPr>
              <w:pStyle w:val="TableContents"/>
              <w:bidi w:val="0"/>
              <w:spacing w:before="0" w:after="283"/>
              <w:jc w:val="left"/>
              <w:rPr>
                <w:sz w:val="20"/>
              </w:rPr>
            </w:pPr>
            <w:r>
              <w:rPr>
                <w:sz w:val="20"/>
              </w:rPr>
              <w:t xml:space="preserve">Fees to be Paid </w:t>
            </w:r>
          </w:p>
        </w:tc>
        <w:tc>
          <w:tcPr>
            <w:tcW w:w="211" w:type="dxa"/>
            <w:tcBorders/>
            <w:shd w:fill="E7E7E2" w:val="clear"/>
            <w:vAlign w:val="center"/>
          </w:tcPr>
          <w:p>
            <w:pPr>
              <w:pStyle w:val="TableContents"/>
              <w:bidi w:val="0"/>
              <w:spacing w:before="0" w:after="283"/>
              <w:jc w:val="center"/>
              <w:rPr>
                <w:sz w:val="20"/>
              </w:rPr>
            </w:pPr>
            <w:r>
              <w:rPr>
                <w:sz w:val="20"/>
              </w:rPr>
              <w:t xml:space="preserve">1 </w:t>
            </w:r>
          </w:p>
        </w:tc>
        <w:tc>
          <w:tcPr>
            <w:tcW w:w="1096" w:type="dxa"/>
            <w:tcBorders/>
            <w:shd w:fill="E7E7E2" w:val="clear"/>
            <w:vAlign w:val="center"/>
          </w:tcPr>
          <w:p>
            <w:pPr>
              <w:pStyle w:val="TableContents"/>
              <w:bidi w:val="0"/>
              <w:spacing w:before="0" w:after="283"/>
              <w:jc w:val="left"/>
              <w:rPr>
                <w:sz w:val="20"/>
              </w:rPr>
            </w:pPr>
            <w:r>
              <w:rPr>
                <w:sz w:val="20"/>
              </w:rPr>
              <w:t xml:space="preserve">Unallocated (Universal) Shelf </w:t>
            </w:r>
          </w:p>
        </w:tc>
        <w:tc>
          <w:tcPr>
            <w:tcW w:w="87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jc w:val="center"/>
              <w:rPr>
                <w:sz w:val="20"/>
              </w:rPr>
            </w:pPr>
            <w:r>
              <w:rPr>
                <w:sz w:val="20"/>
              </w:rPr>
              <w:t xml:space="preserve">457(o)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right"/>
              <w:rPr>
                <w:sz w:val="20"/>
              </w:rPr>
            </w:pPr>
            <w:r>
              <w:rPr>
                <w:sz w:val="20"/>
              </w:rPr>
              <w:t xml:space="preserve">$ 1,000,000,000.00 </w:t>
            </w:r>
          </w:p>
        </w:tc>
        <w:tc>
          <w:tcPr>
            <w:tcW w:w="991" w:type="dxa"/>
            <w:tcBorders/>
            <w:shd w:fill="E7E7E2" w:val="clear"/>
            <w:vAlign w:val="center"/>
          </w:tcPr>
          <w:p>
            <w:pPr>
              <w:pStyle w:val="TableContents"/>
              <w:bidi w:val="0"/>
              <w:spacing w:before="0" w:after="283"/>
              <w:jc w:val="right"/>
              <w:rPr>
                <w:sz w:val="20"/>
              </w:rPr>
            </w:pPr>
            <w:r>
              <w:rPr>
                <w:sz w:val="20"/>
              </w:rPr>
              <w:t xml:space="preserve">0.0001381 </w:t>
            </w:r>
          </w:p>
        </w:tc>
        <w:tc>
          <w:tcPr>
            <w:tcW w:w="1186" w:type="dxa"/>
            <w:tcBorders/>
            <w:shd w:fill="E7E7E2" w:val="clear"/>
            <w:vAlign w:val="center"/>
          </w:tcPr>
          <w:p>
            <w:pPr>
              <w:pStyle w:val="TableContents"/>
              <w:bidi w:val="0"/>
              <w:spacing w:before="0" w:after="283"/>
              <w:jc w:val="right"/>
              <w:rPr>
                <w:sz w:val="20"/>
              </w:rPr>
            </w:pPr>
            <w:r>
              <w:rPr>
                <w:sz w:val="20"/>
              </w:rPr>
              <w:t xml:space="preserve">$ 138,100.00 </w:t>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shd w:fill="E7E7E2" w:val="clear"/>
            <w:vAlign w:val="center"/>
          </w:tcPr>
          <w:p>
            <w:pPr>
              <w:pStyle w:val="TableContents"/>
              <w:bidi w:val="0"/>
              <w:spacing w:before="0" w:after="283"/>
              <w:jc w:val="left"/>
              <w:rPr>
                <w:sz w:val="20"/>
              </w:rPr>
            </w:pPr>
            <w:r>
              <w:rPr>
                <w:sz w:val="20"/>
              </w:rPr>
              <w:t xml:space="preserve">Fees Previously Paid </w:t>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jc w:val="left"/>
              <w:rPr>
                <w:sz w:val="4"/>
                <w:szCs w:val="4"/>
              </w:rPr>
            </w:pPr>
            <w:r>
              <w:rPr>
                <w:sz w:val="4"/>
                <w:szCs w:val="4"/>
              </w:rPr>
            </w:r>
          </w:p>
        </w:tc>
        <w:tc>
          <w:tcPr>
            <w:tcW w:w="87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13814" w:type="dxa"/>
            <w:gridSpan w:val="14"/>
            <w:tcBorders/>
            <w:vAlign w:val="center"/>
          </w:tcPr>
          <w:p>
            <w:pPr>
              <w:pStyle w:val="TableContents"/>
              <w:bidi w:val="0"/>
              <w:spacing w:before="0" w:after="283"/>
              <w:jc w:val="center"/>
              <w:rPr>
                <w:sz w:val="20"/>
              </w:rPr>
            </w:pPr>
            <w:r>
              <w:rPr>
                <w:b/>
                <w:sz w:val="20"/>
              </w:rPr>
              <w:t>Carry Forward Securities</w:t>
            </w:r>
            <w:r>
              <w:rPr>
                <w:sz w:val="20"/>
              </w:rPr>
              <w:t xml:space="preserve"> </w:t>
            </w:r>
          </w:p>
        </w:tc>
      </w:tr>
      <w:tr>
        <w:trPr/>
        <w:tc>
          <w:tcPr>
            <w:tcW w:w="991" w:type="dxa"/>
            <w:tcBorders/>
            <w:shd w:fill="E7E7E2" w:val="clear"/>
            <w:vAlign w:val="center"/>
          </w:tcPr>
          <w:p>
            <w:pPr>
              <w:pStyle w:val="TableContents"/>
              <w:bidi w:val="0"/>
              <w:spacing w:before="0" w:after="283"/>
              <w:jc w:val="left"/>
              <w:rPr>
                <w:sz w:val="20"/>
              </w:rPr>
            </w:pPr>
            <w:r>
              <w:rPr>
                <w:sz w:val="20"/>
              </w:rPr>
              <w:t xml:space="preserve">Carry Forward Securities </w:t>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jc w:val="left"/>
              <w:rPr>
                <w:sz w:val="4"/>
                <w:szCs w:val="4"/>
              </w:rPr>
            </w:pPr>
            <w:r>
              <w:rPr>
                <w:sz w:val="4"/>
                <w:szCs w:val="4"/>
              </w:rPr>
            </w:r>
          </w:p>
        </w:tc>
        <w:tc>
          <w:tcPr>
            <w:tcW w:w="871"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69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0"/>
              <w:ind w:left="0" w:right="0" w:hanging="0"/>
              <w:jc w:val="right"/>
              <w:rPr>
                <w:sz w:val="20"/>
              </w:rPr>
            </w:pPr>
            <w:r>
              <w:rPr>
                <w:sz w:val="20"/>
              </w:rPr>
              <w:t>Total Offering Amounts:</w:t>
            </w:r>
          </w:p>
        </w:tc>
        <w:tc>
          <w:tcPr>
            <w:tcW w:w="9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0"/>
              <w:ind w:left="0" w:right="0" w:hanging="0"/>
              <w:jc w:val="right"/>
              <w:rPr>
                <w:sz w:val="20"/>
              </w:rPr>
            </w:pPr>
            <w:bookmarkStart w:id="25" w:name="MaxAggtOfferingPrice"/>
            <w:bookmarkEnd w:id="25"/>
            <w:r>
              <w:rPr>
                <w:sz w:val="20"/>
              </w:rPr>
              <w:t xml:space="preserve">$ 1,000,000,000.00 </w:t>
            </w:r>
          </w:p>
        </w:tc>
        <w:tc>
          <w:tcPr>
            <w:tcW w:w="991" w:type="dxa"/>
            <w:tcBorders/>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0"/>
              <w:ind w:left="0" w:right="0" w:hanging="0"/>
              <w:jc w:val="right"/>
              <w:rPr>
                <w:sz w:val="20"/>
              </w:rPr>
            </w:pPr>
            <w:bookmarkStart w:id="26" w:name="TotalFeeAmt"/>
            <w:bookmarkEnd w:id="26"/>
            <w:r>
              <w:rPr>
                <w:sz w:val="20"/>
              </w:rPr>
              <w:t xml:space="preserve">$ 138,100.00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0"/>
              <w:ind w:left="0" w:right="0" w:hanging="0"/>
              <w:jc w:val="right"/>
              <w:rPr>
                <w:sz w:val="20"/>
              </w:rPr>
            </w:pPr>
            <w:r>
              <w:rPr>
                <w:sz w:val="20"/>
              </w:rPr>
              <w:t xml:space="preserve">Total Fees Previously Paid: </w:t>
            </w:r>
          </w:p>
        </w:tc>
        <w:tc>
          <w:tcPr>
            <w:tcW w:w="9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0"/>
              <w:ind w:left="0" w:right="0" w:hanging="0"/>
              <w:jc w:val="right"/>
              <w:rPr>
                <w:sz w:val="20"/>
              </w:rPr>
            </w:pPr>
            <w:bookmarkStart w:id="27" w:name="TotalPreviouslyPaidAmt"/>
            <w:bookmarkEnd w:id="27"/>
            <w:r>
              <w:rPr>
                <w:sz w:val="20"/>
              </w:rPr>
              <w:t xml:space="preserve">$ 0.00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0"/>
              <w:ind w:left="0" w:right="0" w:hanging="0"/>
              <w:jc w:val="right"/>
              <w:rPr>
                <w:sz w:val="20"/>
              </w:rPr>
            </w:pPr>
            <w:r>
              <w:rPr>
                <w:sz w:val="20"/>
              </w:rPr>
              <w:t xml:space="preserve">Total Fee Offsets: </w:t>
            </w:r>
          </w:p>
        </w:tc>
        <w:tc>
          <w:tcPr>
            <w:tcW w:w="9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0"/>
              <w:ind w:left="0" w:right="0" w:hanging="0"/>
              <w:jc w:val="right"/>
              <w:rPr>
                <w:sz w:val="20"/>
              </w:rPr>
            </w:pPr>
            <w:bookmarkStart w:id="28" w:name="TotalOffsetAmt"/>
            <w:bookmarkEnd w:id="28"/>
            <w:r>
              <w:rPr>
                <w:sz w:val="20"/>
              </w:rPr>
              <w:t xml:space="preserve">$ 0.00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73" w:type="dxa"/>
            <w:gridSpan w:val="3"/>
            <w:tcBorders/>
            <w:vAlign w:val="center"/>
          </w:tcPr>
          <w:p>
            <w:pPr>
              <w:pStyle w:val="TableContents"/>
              <w:bidi w:val="0"/>
              <w:spacing w:before="0" w:after="0"/>
              <w:ind w:left="0" w:right="0" w:hanging="0"/>
              <w:jc w:val="right"/>
              <w:rPr>
                <w:sz w:val="20"/>
              </w:rPr>
            </w:pPr>
            <w:r>
              <w:rPr>
                <w:sz w:val="20"/>
              </w:rPr>
              <w:t xml:space="preserve">Net Fee Due: </w:t>
            </w:r>
          </w:p>
        </w:tc>
        <w:tc>
          <w:tcPr>
            <w:tcW w:w="9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0"/>
              <w:ind w:left="0" w:right="0" w:hanging="0"/>
              <w:jc w:val="right"/>
              <w:rPr>
                <w:sz w:val="20"/>
              </w:rPr>
            </w:pPr>
            <w:bookmarkStart w:id="29" w:name="NetFeeAmt"/>
            <w:bookmarkEnd w:id="29"/>
            <w:r>
              <w:rPr>
                <w:sz w:val="20"/>
              </w:rPr>
              <w:t xml:space="preserve">$ 138,100.00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sz w:val="20"/>
              </w:rPr>
            </w:pPr>
            <w:r>
              <w:rPr>
                <w:b/>
                <w:sz w:val="20"/>
              </w:rPr>
              <w:t>Offering Note</w:t>
            </w:r>
            <w:r>
              <w:rPr>
                <w:sz w:val="20"/>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sz w:val="20"/>
              </w:rPr>
            </w:pPr>
            <w:r>
              <w:rPr>
                <w:sz w:val="15"/>
              </w:rPr>
              <w:t>1</w:t>
            </w:r>
            <w:r>
              <w:rPr>
                <w:sz w:val="20"/>
              </w:rPr>
              <w:t xml:space="preserve"> </w:t>
            </w:r>
          </w:p>
        </w:tc>
        <w:tc>
          <w:tcPr>
            <w:tcW w:w="10007" w:type="dxa"/>
            <w:gridSpan w:val="2"/>
            <w:tcBorders/>
            <w:vAlign w:val="center"/>
          </w:tcPr>
          <w:p>
            <w:pPr>
              <w:pStyle w:val="TableContents"/>
              <w:bidi w:val="0"/>
              <w:spacing w:before="0" w:after="283"/>
              <w:jc w:val="left"/>
              <w:rPr>
                <w:sz w:val="20"/>
              </w:rPr>
            </w:pPr>
            <w:r>
              <w:rPr>
                <w:sz w:val="20"/>
              </w:rPr>
              <w:t xml:space="preserve">(1) The proposed amount of the securities offered to be offered and registered by the registrant, maximum offering price per class of security to be offered by the registrant and maximum aggregate offering price per class of security to be offered by the registrant will be determined from time to time by the registrant in connection with the issuance by the registrant of the securities registered hereunder. (2) This registration statement covers such indeterminate amount of shares of common stock and preferred stock, debt securities, warrants and units of Axe Compute Inc., as having an aggregate offering price not to exceed $1,000,000,000, to be offered by the registrant. The securities registered hereunder are to be issued from time to time at prices to be determined.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(3) Estimated solely for the purpose of calculating the registration fee. Subject to Rule 462(b) under the Securities Act, the aggregate maximum offering price of all securities to be offered and issued by the registrant pursuant to this registration statement will not exceed $1,000,000,000. </w:t>
            </w:r>
          </w:p>
        </w:tc>
      </w:tr>
      <w:tr>
        <w:trPr/>
        <w:tc>
          <w:tcPr>
            <w:tcW w:w="1497" w:type="dxa"/>
            <w:gridSpan w:val="2"/>
            <w:tcBorders/>
            <w:vAlign w:val="center"/>
          </w:tcPr>
          <w:p>
            <w:pPr>
              <w:pStyle w:val="HorizontalLine"/>
              <w:bidi w:val="0"/>
              <w:spacing w:before="0" w:after="283"/>
              <w:jc w:val="left"/>
              <w:rPr>
                <w:sz w:val="20"/>
                <w:szCs w:val="20"/>
              </w:rPr>
            </w:pPr>
            <w:r>
              <w:rPr>
                <w:sz w:val="20"/>
                <w:szCs w:val="20"/>
              </w:rPr>
            </w:r>
          </w:p>
        </w:tc>
        <w:tc>
          <w:tcPr>
            <w:tcW w:w="8708" w:type="dxa"/>
            <w:tcBorders/>
          </w:tcPr>
          <w:p>
            <w:pPr>
              <w:pStyle w:val="TableContents"/>
              <w:bidi w:val="0"/>
              <w:spacing w:before="0" w:after="283"/>
              <w:jc w:val="left"/>
              <w:rPr>
                <w:sz w:val="4"/>
                <w:szCs w:val="4"/>
              </w:rPr>
            </w:pPr>
            <w:r>
              <w:rPr>
                <w:sz w:val="4"/>
                <w:szCs w:val="4"/>
              </w:rPr>
            </w:r>
          </w:p>
        </w:tc>
      </w:tr>
    </w:tbl>
    <w:tbl>
      <w:tblPr>
        <w:tblW w:w="5132" w:type="dxa"/>
        <w:jc w:val="left"/>
        <w:tblInd w:w="0" w:type="dxa"/>
        <w:tblLayout w:type="fixed"/>
        <w:tblCellMar>
          <w:top w:w="28" w:type="dxa"/>
          <w:left w:w="28" w:type="dxa"/>
          <w:bottom w:w="28" w:type="dxa"/>
          <w:right w:w="28" w:type="dxa"/>
        </w:tblCellMar>
      </w:tblPr>
      <w:tblGrid>
        <w:gridCol w:w="3466"/>
        <w:gridCol w:w="1666"/>
      </w:tblGrid>
      <w:tr>
        <w:trPr/>
        <w:tc>
          <w:tcPr>
            <w:tcW w:w="3466" w:type="dxa"/>
            <w:tcBorders/>
            <w:vAlign w:val="center"/>
          </w:tcPr>
          <w:p>
            <w:pPr>
              <w:pStyle w:val="TableHeading"/>
              <w:bidi w:val="0"/>
              <w:spacing w:before="0" w:after="283"/>
              <w:jc w:val="left"/>
              <w:rPr>
                <w:sz w:val="20"/>
              </w:rPr>
            </w:pPr>
            <w:r>
              <w:rPr>
                <w:b/>
                <w:sz w:val="20"/>
              </w:rPr>
              <w:t>Table 2: Fee Offset Claims and Sources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751"/>
        <w:gridCol w:w="109"/>
        <w:gridCol w:w="991"/>
        <w:gridCol w:w="616"/>
        <w:gridCol w:w="796"/>
        <w:gridCol w:w="631"/>
        <w:gridCol w:w="616"/>
        <w:gridCol w:w="826"/>
        <w:gridCol w:w="1006"/>
        <w:gridCol w:w="1006"/>
        <w:gridCol w:w="1006"/>
        <w:gridCol w:w="1006"/>
        <w:gridCol w:w="691"/>
        <w:gridCol w:w="154"/>
      </w:tblGrid>
      <w:tr>
        <w:trPr/>
        <w:tc>
          <w:tcPr>
            <w:tcW w:w="75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91" w:type="dxa"/>
            <w:tcBorders/>
            <w:shd w:fill="9ADAF6" w:val="clear"/>
            <w:vAlign w:val="center"/>
          </w:tcPr>
          <w:p>
            <w:pPr>
              <w:pStyle w:val="TableHeading"/>
              <w:bidi w:val="0"/>
              <w:spacing w:before="0" w:after="283"/>
              <w:rPr>
                <w:sz w:val="20"/>
              </w:rPr>
            </w:pPr>
            <w:r>
              <w:rPr>
                <w:sz w:val="20"/>
              </w:rPr>
              <w:t xml:space="preserve">Registrant or Filer Name </w:t>
            </w:r>
          </w:p>
        </w:tc>
        <w:tc>
          <w:tcPr>
            <w:tcW w:w="616" w:type="dxa"/>
            <w:tcBorders/>
            <w:shd w:fill="9ADAF6" w:val="clear"/>
            <w:vAlign w:val="center"/>
          </w:tcPr>
          <w:p>
            <w:pPr>
              <w:pStyle w:val="TableHeading"/>
              <w:bidi w:val="0"/>
              <w:spacing w:before="0" w:after="283"/>
              <w:rPr>
                <w:sz w:val="20"/>
              </w:rPr>
            </w:pPr>
            <w:r>
              <w:rPr>
                <w:sz w:val="20"/>
              </w:rPr>
              <w:t xml:space="preserve">Form or Filing Type </w:t>
            </w:r>
          </w:p>
        </w:tc>
        <w:tc>
          <w:tcPr>
            <w:tcW w:w="796" w:type="dxa"/>
            <w:tcBorders/>
            <w:shd w:fill="9ADAF6" w:val="clear"/>
            <w:vAlign w:val="center"/>
          </w:tcPr>
          <w:p>
            <w:pPr>
              <w:pStyle w:val="TableHeading"/>
              <w:bidi w:val="0"/>
              <w:spacing w:before="0" w:after="283"/>
              <w:rPr>
                <w:sz w:val="20"/>
              </w:rPr>
            </w:pPr>
            <w:r>
              <w:rPr>
                <w:sz w:val="20"/>
              </w:rPr>
              <w:t xml:space="preserve">File Number </w:t>
            </w:r>
          </w:p>
        </w:tc>
        <w:tc>
          <w:tcPr>
            <w:tcW w:w="631" w:type="dxa"/>
            <w:tcBorders/>
            <w:shd w:fill="9ADAF6" w:val="clear"/>
            <w:vAlign w:val="center"/>
          </w:tcPr>
          <w:p>
            <w:pPr>
              <w:pStyle w:val="TableHeading"/>
              <w:bidi w:val="0"/>
              <w:spacing w:before="0" w:after="283"/>
              <w:rPr>
                <w:sz w:val="20"/>
              </w:rPr>
            </w:pPr>
            <w:r>
              <w:rPr>
                <w:sz w:val="20"/>
              </w:rPr>
              <w:t xml:space="preserve">Initial Filing Date </w:t>
            </w:r>
          </w:p>
        </w:tc>
        <w:tc>
          <w:tcPr>
            <w:tcW w:w="616" w:type="dxa"/>
            <w:tcBorders/>
            <w:shd w:fill="9ADAF6" w:val="clear"/>
            <w:vAlign w:val="center"/>
          </w:tcPr>
          <w:p>
            <w:pPr>
              <w:pStyle w:val="TableHeading"/>
              <w:bidi w:val="0"/>
              <w:spacing w:before="0" w:after="283"/>
              <w:rPr>
                <w:sz w:val="20"/>
              </w:rPr>
            </w:pPr>
            <w:r>
              <w:rPr>
                <w:sz w:val="20"/>
              </w:rPr>
              <w:t xml:space="preserve">Filing Date </w:t>
            </w:r>
          </w:p>
        </w:tc>
        <w:tc>
          <w:tcPr>
            <w:tcW w:w="826" w:type="dxa"/>
            <w:tcBorders/>
            <w:shd w:fill="9ADAF6" w:val="clear"/>
            <w:vAlign w:val="center"/>
          </w:tcPr>
          <w:p>
            <w:pPr>
              <w:pStyle w:val="TableHeading"/>
              <w:bidi w:val="0"/>
              <w:spacing w:before="0" w:after="283"/>
              <w:rPr>
                <w:sz w:val="20"/>
              </w:rPr>
            </w:pPr>
            <w:r>
              <w:rPr>
                <w:sz w:val="20"/>
              </w:rPr>
              <w:t xml:space="preserve">Fee Offset Claimed </w:t>
            </w:r>
          </w:p>
        </w:tc>
        <w:tc>
          <w:tcPr>
            <w:tcW w:w="1006" w:type="dxa"/>
            <w:tcBorders/>
            <w:shd w:fill="9ADAF6" w:val="clear"/>
            <w:vAlign w:val="center"/>
          </w:tcPr>
          <w:p>
            <w:pPr>
              <w:pStyle w:val="TableHeading"/>
              <w:bidi w:val="0"/>
              <w:spacing w:before="0" w:after="283"/>
              <w:rPr>
                <w:sz w:val="20"/>
              </w:rPr>
            </w:pPr>
            <w:r>
              <w:rPr>
                <w:sz w:val="20"/>
              </w:rPr>
              <w:t xml:space="preserve">Security Type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Security Title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Securities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Aggregate Offering Amount Associated with Fee Offset Claimed </w:t>
            </w:r>
          </w:p>
        </w:tc>
        <w:tc>
          <w:tcPr>
            <w:tcW w:w="691" w:type="dxa"/>
            <w:tcBorders/>
            <w:shd w:fill="9ADAF6" w:val="clear"/>
            <w:vAlign w:val="center"/>
          </w:tcPr>
          <w:p>
            <w:pPr>
              <w:pStyle w:val="TableHeading"/>
              <w:bidi w:val="0"/>
              <w:spacing w:before="0" w:after="283"/>
              <w:rPr>
                <w:sz w:val="20"/>
              </w:rPr>
            </w:pPr>
            <w:r>
              <w:rPr>
                <w:sz w:val="20"/>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0205" w:type="dxa"/>
            <w:gridSpan w:val="14"/>
            <w:tcBorders/>
            <w:vAlign w:val="center"/>
          </w:tcPr>
          <w:p>
            <w:pPr>
              <w:pStyle w:val="TableContents"/>
              <w:bidi w:val="0"/>
              <w:spacing w:before="0" w:after="283"/>
              <w:jc w:val="center"/>
              <w:rPr>
                <w:sz w:val="20"/>
              </w:rPr>
            </w:pPr>
            <w:r>
              <w:rPr>
                <w:b/>
                <w:sz w:val="20"/>
              </w:rPr>
              <w:t>Rules 457(b) and 0-11(a)(2)</w:t>
            </w:r>
            <w:r>
              <w:rPr>
                <w:sz w:val="20"/>
              </w:rPr>
              <w:t xml:space="preserve"> </w:t>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0205" w:type="dxa"/>
            <w:gridSpan w:val="14"/>
            <w:tcBorders/>
            <w:vAlign w:val="center"/>
          </w:tcPr>
          <w:p>
            <w:pPr>
              <w:pStyle w:val="TableContents"/>
              <w:bidi w:val="0"/>
              <w:spacing w:before="0" w:after="283"/>
              <w:jc w:val="center"/>
              <w:rPr>
                <w:sz w:val="20"/>
              </w:rPr>
            </w:pPr>
            <w:r>
              <w:rPr>
                <w:b/>
                <w:sz w:val="20"/>
              </w:rPr>
              <w:t>Rule 457(p)</w:t>
            </w:r>
            <w:r>
              <w:rPr>
                <w:sz w:val="20"/>
              </w:rPr>
              <w:t xml:space="preserve"> </w:t>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4577" w:type="dxa"/>
        <w:jc w:val="left"/>
        <w:tblInd w:w="0" w:type="dxa"/>
        <w:tblLayout w:type="fixed"/>
        <w:tblCellMar>
          <w:top w:w="28" w:type="dxa"/>
          <w:left w:w="28" w:type="dxa"/>
          <w:bottom w:w="28" w:type="dxa"/>
          <w:right w:w="28" w:type="dxa"/>
        </w:tblCellMar>
      </w:tblPr>
      <w:tblGrid>
        <w:gridCol w:w="2911"/>
        <w:gridCol w:w="1666"/>
      </w:tblGrid>
      <w:tr>
        <w:trPr/>
        <w:tc>
          <w:tcPr>
            <w:tcW w:w="2911" w:type="dxa"/>
            <w:tcBorders/>
            <w:vAlign w:val="center"/>
          </w:tcPr>
          <w:p>
            <w:pPr>
              <w:pStyle w:val="TableHeading"/>
              <w:bidi w:val="0"/>
              <w:spacing w:before="0" w:after="283"/>
              <w:jc w:val="left"/>
              <w:rPr>
                <w:sz w:val="20"/>
              </w:rPr>
            </w:pPr>
            <w:r>
              <w:rPr>
                <w:b/>
                <w:sz w:val="20"/>
              </w:rPr>
              <w:t>Table 3: Combined Prospectuses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999"/>
        <w:gridCol w:w="1167"/>
        <w:gridCol w:w="2024"/>
        <w:gridCol w:w="2888"/>
        <w:gridCol w:w="774"/>
        <w:gridCol w:w="947"/>
        <w:gridCol w:w="1282"/>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999" w:type="dxa"/>
            <w:tcBorders/>
            <w:shd w:fill="9ADAF6" w:val="clear"/>
            <w:vAlign w:val="center"/>
          </w:tcPr>
          <w:p>
            <w:pPr>
              <w:pStyle w:val="TableHeading"/>
              <w:bidi w:val="0"/>
              <w:spacing w:before="0" w:after="0"/>
              <w:ind w:left="0" w:right="0" w:hanging="0"/>
              <w:jc w:val="center"/>
              <w:rPr>
                <w:sz w:val="20"/>
              </w:rPr>
            </w:pPr>
            <w:r>
              <w:rPr>
                <w:b/>
                <w:sz w:val="20"/>
              </w:rPr>
              <w:t>Security Type</w:t>
            </w:r>
            <w:r>
              <w:rPr>
                <w:sz w:val="20"/>
              </w:rPr>
              <w:t xml:space="preserve"> </w:t>
            </w:r>
          </w:p>
        </w:tc>
        <w:tc>
          <w:tcPr>
            <w:tcW w:w="1167" w:type="dxa"/>
            <w:tcBorders/>
            <w:shd w:fill="9ADAF6" w:val="clear"/>
            <w:vAlign w:val="center"/>
          </w:tcPr>
          <w:p>
            <w:pPr>
              <w:pStyle w:val="TableHeading"/>
              <w:bidi w:val="0"/>
              <w:spacing w:before="0" w:after="0"/>
              <w:ind w:left="0" w:right="0" w:hanging="0"/>
              <w:jc w:val="center"/>
              <w:rPr>
                <w:sz w:val="20"/>
              </w:rPr>
            </w:pPr>
            <w:r>
              <w:rPr>
                <w:b/>
                <w:sz w:val="20"/>
              </w:rPr>
              <w:t>Security Class Title</w:t>
            </w:r>
            <w:r>
              <w:rPr>
                <w:sz w:val="20"/>
              </w:rPr>
              <w:t xml:space="preserve"> </w:t>
            </w:r>
          </w:p>
        </w:tc>
        <w:tc>
          <w:tcPr>
            <w:tcW w:w="2024" w:type="dxa"/>
            <w:tcBorders/>
            <w:shd w:fill="9ADAF6" w:val="clear"/>
            <w:vAlign w:val="center"/>
          </w:tcPr>
          <w:p>
            <w:pPr>
              <w:pStyle w:val="TableHeading"/>
              <w:bidi w:val="0"/>
              <w:spacing w:before="0" w:after="0"/>
              <w:ind w:left="0" w:right="0" w:hanging="0"/>
              <w:jc w:val="center"/>
              <w:rPr>
                <w:sz w:val="20"/>
              </w:rPr>
            </w:pPr>
            <w:r>
              <w:rPr>
                <w:b/>
                <w:sz w:val="20"/>
              </w:rPr>
              <w:t>Amount of Securities Previously Registered</w:t>
            </w:r>
            <w:r>
              <w:rPr>
                <w:sz w:val="20"/>
              </w:rPr>
              <w:t xml:space="preserve"> </w:t>
            </w:r>
          </w:p>
        </w:tc>
        <w:tc>
          <w:tcPr>
            <w:tcW w:w="2888" w:type="dxa"/>
            <w:tcBorders/>
            <w:shd w:fill="9ADAF6" w:val="clear"/>
            <w:vAlign w:val="center"/>
          </w:tcPr>
          <w:p>
            <w:pPr>
              <w:pStyle w:val="TableHeading"/>
              <w:bidi w:val="0"/>
              <w:spacing w:before="0" w:after="0"/>
              <w:ind w:left="0" w:right="0" w:hanging="0"/>
              <w:jc w:val="center"/>
              <w:rPr>
                <w:sz w:val="20"/>
              </w:rPr>
            </w:pPr>
            <w:r>
              <w:rPr>
                <w:b/>
                <w:sz w:val="20"/>
              </w:rPr>
              <w:t>Maximum Aggregate Offering Price of Securities Previously Registered</w:t>
            </w:r>
            <w:r>
              <w:rPr>
                <w:sz w:val="20"/>
              </w:rPr>
              <w:t xml:space="preserve"> </w:t>
            </w:r>
          </w:p>
        </w:tc>
        <w:tc>
          <w:tcPr>
            <w:tcW w:w="774" w:type="dxa"/>
            <w:tcBorders/>
            <w:shd w:fill="9ADAF6" w:val="clear"/>
            <w:vAlign w:val="center"/>
          </w:tcPr>
          <w:p>
            <w:pPr>
              <w:pStyle w:val="TableHeading"/>
              <w:bidi w:val="0"/>
              <w:spacing w:before="0" w:after="0"/>
              <w:ind w:left="0" w:right="0" w:hanging="0"/>
              <w:jc w:val="center"/>
              <w:rPr>
                <w:sz w:val="20"/>
              </w:rPr>
            </w:pPr>
            <w:r>
              <w:rPr>
                <w:b/>
                <w:sz w:val="20"/>
              </w:rPr>
              <w:t>Form Type</w:t>
            </w:r>
            <w:r>
              <w:rPr>
                <w:sz w:val="20"/>
              </w:rPr>
              <w:t xml:space="preserve"> </w:t>
            </w:r>
          </w:p>
        </w:tc>
        <w:tc>
          <w:tcPr>
            <w:tcW w:w="947" w:type="dxa"/>
            <w:tcBorders/>
            <w:shd w:fill="9ADAF6" w:val="clear"/>
            <w:vAlign w:val="center"/>
          </w:tcPr>
          <w:p>
            <w:pPr>
              <w:pStyle w:val="TableHeading"/>
              <w:bidi w:val="0"/>
              <w:spacing w:before="0" w:after="0"/>
              <w:ind w:left="0" w:right="0" w:hanging="0"/>
              <w:jc w:val="center"/>
              <w:rPr>
                <w:sz w:val="20"/>
              </w:rPr>
            </w:pPr>
            <w:r>
              <w:rPr>
                <w:b/>
                <w:sz w:val="20"/>
              </w:rPr>
              <w:t>File Number</w:t>
            </w:r>
            <w:r>
              <w:rPr>
                <w:sz w:val="20"/>
              </w:rPr>
              <w:t xml:space="preserve"> </w:t>
            </w:r>
          </w:p>
        </w:tc>
        <w:tc>
          <w:tcPr>
            <w:tcW w:w="1282" w:type="dxa"/>
            <w:tcBorders/>
            <w:shd w:fill="9ADAF6" w:val="clear"/>
            <w:vAlign w:val="center"/>
          </w:tcPr>
          <w:p>
            <w:pPr>
              <w:pStyle w:val="TableHeading"/>
              <w:bidi w:val="0"/>
              <w:spacing w:before="0" w:after="0"/>
              <w:ind w:left="0" w:right="0" w:hanging="0"/>
              <w:jc w:val="center"/>
              <w:rPr>
                <w:sz w:val="20"/>
              </w:rPr>
            </w:pPr>
            <w:r>
              <w:rPr>
                <w:b/>
                <w:sz w:val="20"/>
              </w:rPr>
              <w:t>Initial Effective Date</w:t>
            </w:r>
            <w:r>
              <w:rPr>
                <w:sz w:val="20"/>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999" w:type="dxa"/>
            <w:tcBorders/>
            <w:shd w:fill="E7E7E2" w:val="clear"/>
            <w:vAlign w:val="center"/>
          </w:tcPr>
          <w:p>
            <w:pPr>
              <w:pStyle w:val="TableContents"/>
              <w:bidi w:val="0"/>
              <w:spacing w:before="0" w:after="283"/>
              <w:jc w:val="left"/>
              <w:rPr>
                <w:sz w:val="4"/>
                <w:szCs w:val="4"/>
              </w:rPr>
            </w:pPr>
            <w:r>
              <w:rPr>
                <w:sz w:val="4"/>
                <w:szCs w:val="4"/>
              </w:rPr>
            </w:r>
          </w:p>
        </w:tc>
        <w:tc>
          <w:tcPr>
            <w:tcW w:w="1167" w:type="dxa"/>
            <w:tcBorders/>
            <w:shd w:fill="E7E7E2" w:val="clear"/>
            <w:vAlign w:val="center"/>
          </w:tcPr>
          <w:p>
            <w:pPr>
              <w:pStyle w:val="TableContents"/>
              <w:bidi w:val="0"/>
              <w:spacing w:before="0" w:after="283"/>
              <w:jc w:val="left"/>
              <w:rPr>
                <w:sz w:val="4"/>
                <w:szCs w:val="4"/>
              </w:rPr>
            </w:pPr>
            <w:r>
              <w:rPr>
                <w:sz w:val="4"/>
                <w:szCs w:val="4"/>
              </w:rPr>
            </w:r>
          </w:p>
        </w:tc>
        <w:tc>
          <w:tcPr>
            <w:tcW w:w="2024" w:type="dxa"/>
            <w:tcBorders/>
            <w:shd w:fill="E7E7E2" w:val="clear"/>
            <w:vAlign w:val="center"/>
          </w:tcPr>
          <w:p>
            <w:pPr>
              <w:pStyle w:val="TableContents"/>
              <w:bidi w:val="0"/>
              <w:spacing w:before="0" w:after="283"/>
              <w:jc w:val="left"/>
              <w:rPr>
                <w:sz w:val="4"/>
                <w:szCs w:val="4"/>
              </w:rPr>
            </w:pPr>
            <w:r>
              <w:rPr>
                <w:sz w:val="4"/>
                <w:szCs w:val="4"/>
              </w:rPr>
            </w:r>
          </w:p>
        </w:tc>
        <w:tc>
          <w:tcPr>
            <w:tcW w:w="2888" w:type="dxa"/>
            <w:tcBorders/>
            <w:shd w:fill="E7E7E2" w:val="clear"/>
            <w:vAlign w:val="center"/>
          </w:tcPr>
          <w:p>
            <w:pPr>
              <w:pStyle w:val="TableContents"/>
              <w:bidi w:val="0"/>
              <w:spacing w:before="0" w:after="283"/>
              <w:jc w:val="left"/>
              <w:rPr>
                <w:sz w:val="4"/>
                <w:szCs w:val="4"/>
              </w:rPr>
            </w:pPr>
            <w:r>
              <w:rPr>
                <w:sz w:val="4"/>
                <w:szCs w:val="4"/>
              </w:rPr>
            </w:r>
          </w:p>
        </w:tc>
        <w:tc>
          <w:tcPr>
            <w:tcW w:w="774" w:type="dxa"/>
            <w:tcBorders/>
            <w:shd w:fill="E7E7E2" w:val="clear"/>
            <w:vAlign w:val="center"/>
          </w:tcPr>
          <w:p>
            <w:pPr>
              <w:pStyle w:val="TableContents"/>
              <w:bidi w:val="0"/>
              <w:spacing w:before="0" w:after="283"/>
              <w:jc w:val="left"/>
              <w:rPr>
                <w:sz w:val="4"/>
                <w:szCs w:val="4"/>
              </w:rPr>
            </w:pPr>
            <w:r>
              <w:rPr>
                <w:sz w:val="4"/>
                <w:szCs w:val="4"/>
              </w:rPr>
            </w:r>
          </w:p>
        </w:tc>
        <w:tc>
          <w:tcPr>
            <w:tcW w:w="947" w:type="dxa"/>
            <w:tcBorders/>
            <w:shd w:fill="E7E7E2" w:val="clear"/>
            <w:vAlign w:val="center"/>
          </w:tcPr>
          <w:p>
            <w:pPr>
              <w:pStyle w:val="TableContents"/>
              <w:bidi w:val="0"/>
              <w:spacing w:before="0" w:after="283"/>
              <w:jc w:val="left"/>
              <w:rPr>
                <w:sz w:val="4"/>
                <w:szCs w:val="4"/>
              </w:rPr>
            </w:pPr>
            <w:r>
              <w:rPr>
                <w:sz w:val="4"/>
                <w:szCs w:val="4"/>
              </w:rPr>
            </w:r>
          </w:p>
        </w:tc>
        <w:tc>
          <w:tcPr>
            <w:tcW w:w="1282"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46159/000117184326002094/poai20251231_10k.htm" TargetMode="External"/><Relationship Id="rId3" Type="http://schemas.openxmlformats.org/officeDocument/2006/relationships/hyperlink" Target="https://www.sec.gov/ix?doc=/Archives/edgar/data/1446159/000117184326000387/f8k_012226.htm" TargetMode="External"/><Relationship Id="rId4" Type="http://schemas.openxmlformats.org/officeDocument/2006/relationships/hyperlink" Target="https://www.sec.gov/ix?doc=/Archives/edgar/data/1446159/000117184326000690/f8k_020926.htm" TargetMode="External"/><Relationship Id="rId5" Type="http://schemas.openxmlformats.org/officeDocument/2006/relationships/hyperlink" Target="https://www.sec.gov/ix?doc=/Archives/edgar/data/1446159/000117184326001424/f8k_030926.htm" TargetMode="External"/><Relationship Id="rId6" Type="http://schemas.openxmlformats.org/officeDocument/2006/relationships/hyperlink" Target="https://www.sec.gov/ix?doc=/Archives/edgar/data/1446159/000117184326002182/f8k_040126.htm" TargetMode="External"/><Relationship Id="rId7" Type="http://schemas.openxmlformats.org/officeDocument/2006/relationships/hyperlink" Target="https://www.sec.gov/ix?doc=/Archives/edgar/data/1446159/000117184326002182/f8k_040126.htm" TargetMode="External"/><Relationship Id="rId8" Type="http://schemas.openxmlformats.org/officeDocument/2006/relationships/hyperlink" Target="https://www.sec.gov/ix?doc=/Archives/edgar/data/1446159/000117184326002636/f8k_042226.htm" TargetMode="External"/><Relationship Id="rId9" Type="http://schemas.openxmlformats.org/officeDocument/2006/relationships/hyperlink" Target="https://www.sec.gov/ix?doc=/Archives/edgar/data/1446159/000117184326003489/f8k_051526.htm" TargetMode="External"/><Relationship Id="rId10" Type="http://schemas.openxmlformats.org/officeDocument/2006/relationships/hyperlink" Target="https://www.sec.gov/ix?doc=/Archives/edgar/data/1446159/000117184326004008/f8k_060926.htm" TargetMode="External"/><Relationship Id="rId11" Type="http://schemas.openxmlformats.org/officeDocument/2006/relationships/hyperlink" Target="https://www.sec.gov/Archives/edgar/data/1446159/000117184325001863/ex_796079.htm" TargetMode="External"/><Relationship Id="rId12" Type="http://schemas.openxmlformats.org/officeDocument/2006/relationships/hyperlink" Target="https://www.sec.gov/Archives/edgar/data/1446159/000114420413068129/v363337_ex3-1.htm" TargetMode="External"/><Relationship Id="rId13" Type="http://schemas.openxmlformats.org/officeDocument/2006/relationships/hyperlink" Target="https://www.sec.gov/Archives/edgar/data/1446159/000114420413068129/v363337_ex3-1.htm" TargetMode="External"/><Relationship Id="rId14" Type="http://schemas.openxmlformats.org/officeDocument/2006/relationships/hyperlink" Target="https://www.sec.gov/Archives/edgar/data/1446159/000114420414062895/v392122_ex3-1.htm" TargetMode="External"/><Relationship Id="rId15" Type="http://schemas.openxmlformats.org/officeDocument/2006/relationships/hyperlink" Target="https://www.sec.gov/Archives/edgar/data/1446159/000114420414062895/v392122_ex3-1.htm" TargetMode="External"/><Relationship Id="rId16" Type="http://schemas.openxmlformats.org/officeDocument/2006/relationships/hyperlink" Target="https://www.sec.gov/Archives/edgar/data/1446159/000121465915005115/a630150def14c.htm" TargetMode="External"/><Relationship Id="rId17" Type="http://schemas.openxmlformats.org/officeDocument/2006/relationships/hyperlink" Target="https://www.sec.gov/Archives/edgar/data/1446159/000121465915005115/a630150def14c.htm" TargetMode="External"/><Relationship Id="rId18" Type="http://schemas.openxmlformats.org/officeDocument/2006/relationships/hyperlink" Target="https://www.sec.gov/Archives/edgar/data/1446159/000117184316012174/exh_31.htm" TargetMode="External"/><Relationship Id="rId19" Type="http://schemas.openxmlformats.org/officeDocument/2006/relationships/hyperlink" Target="https://www.sec.gov/Archives/edgar/data/1446159/000117184316012174/exh_31.htm" TargetMode="External"/><Relationship Id="rId20" Type="http://schemas.openxmlformats.org/officeDocument/2006/relationships/hyperlink" Target="https://www.sec.gov/Archives/edgar/data/1446159/000117184316012691/exh_31.htm" TargetMode="External"/><Relationship Id="rId21" Type="http://schemas.openxmlformats.org/officeDocument/2006/relationships/hyperlink" Target="https://www.sec.gov/Archives/edgar/data/1446159/000117184316012691/exh_31.htm" TargetMode="External"/><Relationship Id="rId22" Type="http://schemas.openxmlformats.org/officeDocument/2006/relationships/hyperlink" Target="https://www.sec.gov/Archives/edgar/data/1446159/000117184317000494/exh_31.htm" TargetMode="External"/><Relationship Id="rId23" Type="http://schemas.openxmlformats.org/officeDocument/2006/relationships/hyperlink" Target="https://www.sec.gov/Archives/edgar/data/1446159/000117184317000494/exh_31.htm" TargetMode="External"/><Relationship Id="rId24" Type="http://schemas.openxmlformats.org/officeDocument/2006/relationships/hyperlink" Target="https://www.sec.gov/Archives/edgar/data/1446159/000117184318000030/exh_31.htm" TargetMode="External"/><Relationship Id="rId25" Type="http://schemas.openxmlformats.org/officeDocument/2006/relationships/hyperlink" Target="https://www.sec.gov/Archives/edgar/data/1446159/000117184318000030/exh_31.htm" TargetMode="External"/><Relationship Id="rId26" Type="http://schemas.openxmlformats.org/officeDocument/2006/relationships/hyperlink" Target="https://www.sec.gov/Archives/edgar/data/1446159/000117184318000913/exh_31.htm" TargetMode="External"/><Relationship Id="rId27" Type="http://schemas.openxmlformats.org/officeDocument/2006/relationships/hyperlink" Target="https://www.sec.gov/Archives/edgar/data/1446159/000117184318000913/exh_31.htm" TargetMode="External"/><Relationship Id="rId28" Type="http://schemas.openxmlformats.org/officeDocument/2006/relationships/hyperlink" Target="https://www.sec.gov/Archives/edgar/data/1446159/000121465915006214/ex3_6.htm" TargetMode="External"/><Relationship Id="rId29" Type="http://schemas.openxmlformats.org/officeDocument/2006/relationships/hyperlink" Target="https://www.sec.gov/Archives/edgar/data/1446159/000121465915006214/ex3_6.htm" TargetMode="External"/><Relationship Id="rId30" Type="http://schemas.openxmlformats.org/officeDocument/2006/relationships/hyperlink" Target="https://www.sec.gov/Archives/edgar/data/1446159/000117184317007333/exh_31.htm" TargetMode="External"/><Relationship Id="rId31" Type="http://schemas.openxmlformats.org/officeDocument/2006/relationships/hyperlink" Target="https://www.sec.gov/Archives/edgar/data/1446159/000117184317007333/exh_31.htm" TargetMode="External"/><Relationship Id="rId32" Type="http://schemas.openxmlformats.org/officeDocument/2006/relationships/hyperlink" Target="https://www.sec.gov/Archives/edgar/data/1446159/000117184319001922/exh_31.htm" TargetMode="External"/><Relationship Id="rId33" Type="http://schemas.openxmlformats.org/officeDocument/2006/relationships/hyperlink" Target="https://www.sec.gov/Archives/edgar/data/1446159/000117184319001922/exh_31.htm" TargetMode="External"/><Relationship Id="rId34" Type="http://schemas.openxmlformats.org/officeDocument/2006/relationships/hyperlink" Target="https://www.sec.gov/Archives/edgar/data/1446159/000117184320002217/exh_314.htm" TargetMode="External"/><Relationship Id="rId35" Type="http://schemas.openxmlformats.org/officeDocument/2006/relationships/hyperlink" Target="https://www.sec.gov/Archives/edgar/data/1446159/000117184320002217/exh_314.htm" TargetMode="External"/><Relationship Id="rId36" Type="http://schemas.openxmlformats.org/officeDocument/2006/relationships/hyperlink" Target="https://www.sec.gov/Archives/edgar/data/1446159/000117184319004062/exh_31.htm" TargetMode="External"/><Relationship Id="rId37" Type="http://schemas.openxmlformats.org/officeDocument/2006/relationships/hyperlink" Target="https://www.sec.gov/Archives/edgar/data/1446159/000117184319004062/exh_31.htm" TargetMode="External"/><Relationship Id="rId38" Type="http://schemas.openxmlformats.org/officeDocument/2006/relationships/hyperlink" Target="https://www.sec.gov/Archives/edgar/data/1446159/000117184319003971/exh_31.htm" TargetMode="External"/><Relationship Id="rId39" Type="http://schemas.openxmlformats.org/officeDocument/2006/relationships/hyperlink" Target="https://www.sec.gov/Archives/edgar/data/1446159/000117184319003971/exh_31.htm" TargetMode="External"/><Relationship Id="rId40" Type="http://schemas.openxmlformats.org/officeDocument/2006/relationships/hyperlink" Target="https://www.sec.gov/Archives/edgar/data/1446159/000117184319006861/exh_31.htm" TargetMode="External"/><Relationship Id="rId41" Type="http://schemas.openxmlformats.org/officeDocument/2006/relationships/hyperlink" Target="https://www.sec.gov/Archives/edgar/data/1446159/000117184319006861/exh_31.htm" TargetMode="External"/><Relationship Id="rId42" Type="http://schemas.openxmlformats.org/officeDocument/2006/relationships/hyperlink" Target="https://www.sec.gov/Archives/edgar/data/1446159/000117184321006043/exh_31.htm" TargetMode="External"/><Relationship Id="rId43" Type="http://schemas.openxmlformats.org/officeDocument/2006/relationships/hyperlink" Target="https://www.sec.gov/Archives/edgar/data/1446159/000117184321006043/exh_31.htm" TargetMode="External"/><Relationship Id="rId44" Type="http://schemas.openxmlformats.org/officeDocument/2006/relationships/hyperlink" Target="https://www.sec.gov/Archives/edgar/data/1446159/000117184323001735/exh_31.htm" TargetMode="External"/><Relationship Id="rId45" Type="http://schemas.openxmlformats.org/officeDocument/2006/relationships/hyperlink" Target="https://www.sec.gov/Archives/edgar/data/1446159/000117184323001735/exh_31.htm" TargetMode="External"/><Relationship Id="rId46" Type="http://schemas.openxmlformats.org/officeDocument/2006/relationships/hyperlink" Target="https://www.sec.gov/Archives/edgar/data/1446159/000117184323002440/exh_31.htm" TargetMode="External"/><Relationship Id="rId47" Type="http://schemas.openxmlformats.org/officeDocument/2006/relationships/hyperlink" Target="https://www.sec.gov/Archives/edgar/data/1446159/000117184323002440/exh_31.htm" TargetMode="External"/><Relationship Id="rId48" Type="http://schemas.openxmlformats.org/officeDocument/2006/relationships/hyperlink" Target="https://www.sec.gov/Archives/edgar/data/1446159/000117184325006069/exh_31.htm" TargetMode="External"/><Relationship Id="rId49" Type="http://schemas.openxmlformats.org/officeDocument/2006/relationships/hyperlink" Target="https://www.sec.gov/Archives/edgar/data/1446159/000117184325006069/exh_31.htm" TargetMode="External"/><Relationship Id="rId50" Type="http://schemas.openxmlformats.org/officeDocument/2006/relationships/hyperlink" Target="https://www.sec.gov/Archives/edgar/data/1446159/000117184322006337/exh_310.htm" TargetMode="External"/><Relationship Id="rId51" Type="http://schemas.openxmlformats.org/officeDocument/2006/relationships/hyperlink" Target="https://www.sec.gov/Archives/edgar/data/1446159/000117184322006337/exh_310.htm" TargetMode="External"/><Relationship Id="rId52" Type="http://schemas.openxmlformats.org/officeDocument/2006/relationships/hyperlink" Target="https://www.sec.gov/Archives/edgar/data/1446159/000117184325006154/exh_31.htm" TargetMode="External"/><Relationship Id="rId53" Type="http://schemas.openxmlformats.org/officeDocument/2006/relationships/hyperlink" Target="https://www.sec.gov/Archives/edgar/data/1446159/000117184325006154/exh_31.htm" TargetMode="External"/><Relationship Id="rId54" Type="http://schemas.openxmlformats.org/officeDocument/2006/relationships/hyperlink" Target="https://www.sec.gov/Archives/edgar/data/1446159/000121465915005946/ex4_17.htm" TargetMode="External"/><Relationship Id="rId55" Type="http://schemas.openxmlformats.org/officeDocument/2006/relationships/hyperlink" Target="https://www.sec.gov/Archives/edgar/data/1446159/000121465915005946/ex4_17.htm" TargetMode="External"/><Relationship Id="rId56" Type="http://schemas.openxmlformats.org/officeDocument/2006/relationships/hyperlink" Target="https://www.sec.gov/Archives/edgar/data/1446159/000117184319001425/exh_42.htm" TargetMode="External"/><Relationship Id="rId57" Type="http://schemas.openxmlformats.org/officeDocument/2006/relationships/hyperlink" Target="https://www.sec.gov/Archives/edgar/data/1446159/000117184319001425/exh_42.htm" TargetMode="External"/><Relationship Id="rId58" Type="http://schemas.openxmlformats.org/officeDocument/2006/relationships/hyperlink" Target="https://www.sec.gov/Archives/edgar/data/1446159/000117184319002166/exh_42.htm" TargetMode="External"/><Relationship Id="rId59" Type="http://schemas.openxmlformats.org/officeDocument/2006/relationships/hyperlink" Target="https://www.sec.gov/Archives/edgar/data/1446159/000117184319002166/exh_42.htm" TargetMode="External"/><Relationship Id="rId60" Type="http://schemas.openxmlformats.org/officeDocument/2006/relationships/hyperlink" Target="https://www.sec.gov/Archives/edgar/data/1446159/000117184319006354/exh_46.htm" TargetMode="External"/><Relationship Id="rId61" Type="http://schemas.openxmlformats.org/officeDocument/2006/relationships/hyperlink" Target="https://www.sec.gov/Archives/edgar/data/1446159/000117184319006354/exh_46.htm" TargetMode="External"/><Relationship Id="rId62" Type="http://schemas.openxmlformats.org/officeDocument/2006/relationships/hyperlink" Target="https://www.sec.gov/Archives/edgar/data/1446159/000117184319006454/exh_41.htm" TargetMode="External"/><Relationship Id="rId63" Type="http://schemas.openxmlformats.org/officeDocument/2006/relationships/hyperlink" Target="https://www.sec.gov/Archives/edgar/data/1446159/000117184319006454/exh_41.htm" TargetMode="External"/><Relationship Id="rId64" Type="http://schemas.openxmlformats.org/officeDocument/2006/relationships/hyperlink" Target="https://www.sec.gov/Archives/edgar/data/1446159/000117184320000799/exh_41.htm" TargetMode="External"/><Relationship Id="rId65" Type="http://schemas.openxmlformats.org/officeDocument/2006/relationships/hyperlink" Target="https://www.sec.gov/Archives/edgar/data/1446159/000117184320000799/exh_41.htm" TargetMode="External"/><Relationship Id="rId66" Type="http://schemas.openxmlformats.org/officeDocument/2006/relationships/hyperlink" Target="https://www.sec.gov/Archives/edgar/data/1446159/000117184325001863/ex_796079.htm" TargetMode="External"/><Relationship Id="rId67" Type="http://schemas.openxmlformats.org/officeDocument/2006/relationships/hyperlink" Target="https://www.sec.gov/Archives/edgar/data/1446159/000117184325001863/ex_796079.htm" TargetMode="External"/><Relationship Id="rId68" Type="http://schemas.openxmlformats.org/officeDocument/2006/relationships/hyperlink" Target="https://www.sec.gov/Archives/edgar/data/1446159/000117184320002408/exh_430.htm" TargetMode="External"/><Relationship Id="rId69" Type="http://schemas.openxmlformats.org/officeDocument/2006/relationships/hyperlink" Target="https://www.sec.gov/Archives/edgar/data/1446159/000117184320002408/exh_430.htm" TargetMode="External"/><Relationship Id="rId70" Type="http://schemas.openxmlformats.org/officeDocument/2006/relationships/hyperlink" Target="https://www.sec.gov/Archives/edgar/data/1446159/000117184321000230/exh_41.htm" TargetMode="External"/><Relationship Id="rId71" Type="http://schemas.openxmlformats.org/officeDocument/2006/relationships/hyperlink" Target="https://www.sec.gov/Archives/edgar/data/1446159/000117184321000230/exh_41.htm" TargetMode="External"/><Relationship Id="rId72" Type="http://schemas.openxmlformats.org/officeDocument/2006/relationships/hyperlink" Target="https://www.sec.gov/Archives/edgar/data/1446159/000117184321000374/exh_41.htm" TargetMode="External"/><Relationship Id="rId73" Type="http://schemas.openxmlformats.org/officeDocument/2006/relationships/hyperlink" Target="https://www.sec.gov/Archives/edgar/data/1446159/000117184321000374/exh_41.htm" TargetMode="External"/><Relationship Id="rId74" Type="http://schemas.openxmlformats.org/officeDocument/2006/relationships/hyperlink" Target="https://www.sec.gov/Archives/edgar/data/1446159/000117184321000605/exh_41.htm" TargetMode="External"/><Relationship Id="rId75" Type="http://schemas.openxmlformats.org/officeDocument/2006/relationships/hyperlink" Target="https://www.sec.gov/Archives/edgar/data/1446159/000117184321000605/exh_41.htm" TargetMode="External"/><Relationship Id="rId76" Type="http://schemas.openxmlformats.org/officeDocument/2006/relationships/hyperlink" Target="https://www.sec.gov/Archives/edgar/data/1446159/000117184321001014/exh_41.htm" TargetMode="External"/><Relationship Id="rId77" Type="http://schemas.openxmlformats.org/officeDocument/2006/relationships/hyperlink" Target="https://www.sec.gov/Archives/edgar/data/1446159/000117184321001014/exh_41.htm" TargetMode="External"/><Relationship Id="rId78" Type="http://schemas.openxmlformats.org/officeDocument/2006/relationships/hyperlink" Target="https://www.sec.gov/Archives/edgar/data/1446159/000117184321001180/exh_41.htm" TargetMode="External"/><Relationship Id="rId79" Type="http://schemas.openxmlformats.org/officeDocument/2006/relationships/hyperlink" Target="https://www.sec.gov/Archives/edgar/data/1446159/000117184321001180/exh_41.htm" TargetMode="External"/><Relationship Id="rId80" Type="http://schemas.openxmlformats.org/officeDocument/2006/relationships/hyperlink" Target="https://www.sec.gov/Archives/edgar/data/1446159/000117184321004367/exh_41.htm" TargetMode="External"/><Relationship Id="rId81" Type="http://schemas.openxmlformats.org/officeDocument/2006/relationships/hyperlink" Target="https://www.sec.gov/Archives/edgar/data/1446159/000117184321004367/exh_41.htm" TargetMode="External"/><Relationship Id="rId82" Type="http://schemas.openxmlformats.org/officeDocument/2006/relationships/hyperlink" Target="https://www.sec.gov/Archives/edgar/data/1446159/000117184321004367/exh_42.htm" TargetMode="External"/><Relationship Id="rId83" Type="http://schemas.openxmlformats.org/officeDocument/2006/relationships/hyperlink" Target="https://www.sec.gov/Archives/edgar/data/1446159/000117184321004367/exh_42.htm" TargetMode="External"/><Relationship Id="rId84" Type="http://schemas.openxmlformats.org/officeDocument/2006/relationships/hyperlink" Target="https://www.sec.gov/ix?doc=/Archives/edgar/data/1446159/000117184324004198/f8k_072924.htm" TargetMode="External"/><Relationship Id="rId85" Type="http://schemas.openxmlformats.org/officeDocument/2006/relationships/hyperlink" Target="https://www.sec.gov/ix?doc=/Archives/edgar/data/1446159/000117184324004198/f8k_072924.htm" TargetMode="External"/><Relationship Id="rId86" Type="http://schemas.openxmlformats.org/officeDocument/2006/relationships/hyperlink" Target="https://www.sec.gov/ix?doc=/Archives/edgar/data/1446159/000117184324004198/f8k_072924.htm" TargetMode="External"/><Relationship Id="rId87" Type="http://schemas.openxmlformats.org/officeDocument/2006/relationships/hyperlink" Target="https://www.sec.gov/ix?doc=/Archives/edgar/data/1446159/000117184324004198/f8k_072924.htm" TargetMode="External"/><Relationship Id="rId88" Type="http://schemas.openxmlformats.org/officeDocument/2006/relationships/image" Target="media/image1.jpeg"/><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21702</Words>
  <Characters>115536</Characters>
  <CharactersWithSpaces>137407</CharactersWithSpaces>
  <Paragraphs>2069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