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01" w:lineRule="exact"/>
        <w:rPr>
          <w:sz w:val="24"/>
          <w:szCs w:val="24"/>
          <w:color w:val="auto"/>
        </w:rPr>
      </w:pPr>
    </w:p>
    <w:p>
      <w:pPr>
        <w:ind w:left="3940" w:right="1880" w:hanging="3932"/>
        <w:spacing w:after="0" w:line="503" w:lineRule="auto"/>
        <w:tabs>
          <w:tab w:leader="none" w:pos="2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2026</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160" w:right="1860" w:hanging="2152"/>
        <w:spacing w:after="0" w:line="500" w:lineRule="auto"/>
        <w:tabs>
          <w:tab w:leader="none" w:pos="20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_________________________ to _________________________</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4860" w:type="dxa"/>
            <w:vAlign w:val="bottom"/>
            <w:gridSpan w:val="5"/>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rPr>
              <w:t>Commission File Number: 001-36790</w:t>
            </w:r>
          </w:p>
        </w:tc>
        <w:tc>
          <w:tcPr>
            <w:tcW w:w="8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81"/>
        </w:trPr>
        <w:tc>
          <w:tcPr>
            <w:tcW w:w="2820" w:type="dxa"/>
            <w:vAlign w:val="bottom"/>
          </w:tcPr>
          <w:p>
            <w:pPr>
              <w:spacing w:after="0"/>
              <w:rPr>
                <w:sz w:val="24"/>
                <w:szCs w:val="24"/>
                <w:color w:val="auto"/>
              </w:rPr>
            </w:pPr>
          </w:p>
        </w:tc>
        <w:tc>
          <w:tcPr>
            <w:tcW w:w="4860" w:type="dxa"/>
            <w:vAlign w:val="bottom"/>
            <w:tcBorders>
              <w:bottom w:val="single" w:sz="8" w:color="auto"/>
            </w:tcBorders>
            <w:gridSpan w:val="5"/>
          </w:tcPr>
          <w:p>
            <w:pPr>
              <w:jc w:val="center"/>
              <w:ind w:left="772"/>
              <w:spacing w:after="0"/>
              <w:rPr>
                <w:sz w:val="20"/>
                <w:szCs w:val="20"/>
                <w:color w:val="auto"/>
              </w:rPr>
            </w:pPr>
            <w:r>
              <w:rPr>
                <w:rFonts w:ascii="Times New Roman" w:cs="Times New Roman" w:eastAsia="Times New Roman" w:hAnsi="Times New Roman"/>
                <w:sz w:val="32"/>
                <w:szCs w:val="32"/>
                <w:b w:val="1"/>
                <w:bCs w:val="1"/>
                <w:color w:val="auto"/>
              </w:rPr>
              <w:t>Axe Compute Inc.</w:t>
            </w:r>
          </w:p>
        </w:tc>
        <w:tc>
          <w:tcPr>
            <w:tcW w:w="880" w:type="dxa"/>
            <w:vAlign w:val="bottom"/>
            <w:tcBorders>
              <w:bottom w:val="single" w:sz="8" w:color="auto"/>
            </w:tcBorders>
          </w:tcPr>
          <w:p>
            <w:pPr>
              <w:spacing w:after="0"/>
              <w:rPr>
                <w:sz w:val="24"/>
                <w:szCs w:val="24"/>
                <w:color w:val="auto"/>
              </w:rPr>
            </w:pPr>
          </w:p>
        </w:tc>
        <w:tc>
          <w:tcPr>
            <w:tcW w:w="2680" w:type="dxa"/>
            <w:vAlign w:val="bottom"/>
          </w:tcPr>
          <w:p>
            <w:pPr>
              <w:spacing w:after="0"/>
              <w:rPr>
                <w:sz w:val="24"/>
                <w:szCs w:val="24"/>
                <w:color w:val="auto"/>
              </w:rPr>
            </w:pPr>
          </w:p>
        </w:tc>
      </w:tr>
      <w:tr>
        <w:trPr>
          <w:trHeight w:val="228"/>
        </w:trPr>
        <w:tc>
          <w:tcPr>
            <w:tcW w:w="2820" w:type="dxa"/>
            <w:vAlign w:val="bottom"/>
          </w:tcPr>
          <w:p>
            <w:pPr>
              <w:spacing w:after="0"/>
              <w:rPr>
                <w:sz w:val="19"/>
                <w:szCs w:val="19"/>
                <w:color w:val="auto"/>
              </w:rPr>
            </w:pPr>
          </w:p>
        </w:tc>
        <w:tc>
          <w:tcPr>
            <w:tcW w:w="4860" w:type="dxa"/>
            <w:vAlign w:val="bottom"/>
            <w:gridSpan w:val="5"/>
          </w:tcPr>
          <w:p>
            <w:pPr>
              <w:jc w:val="center"/>
              <w:ind w:left="772"/>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88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414"/>
        </w:trPr>
        <w:tc>
          <w:tcPr>
            <w:tcW w:w="7680" w:type="dxa"/>
            <w:vAlign w:val="bottom"/>
            <w:gridSpan w:val="6"/>
          </w:tcPr>
          <w:p>
            <w:pPr>
              <w:jc w:val="center"/>
              <w:ind w:right="2040"/>
              <w:spacing w:after="0"/>
              <w:rPr>
                <w:sz w:val="20"/>
                <w:szCs w:val="20"/>
                <w:color w:val="auto"/>
              </w:rPr>
            </w:pPr>
            <w:r>
              <w:rPr>
                <w:rFonts w:ascii="Times New Roman" w:cs="Times New Roman" w:eastAsia="Times New Roman" w:hAnsi="Times New Roman"/>
                <w:sz w:val="18"/>
                <w:szCs w:val="18"/>
                <w:color w:val="auto"/>
                <w:w w:val="98"/>
              </w:rPr>
              <w:t>Delaware</w:t>
            </w:r>
          </w:p>
        </w:tc>
        <w:tc>
          <w:tcPr>
            <w:tcW w:w="3560" w:type="dxa"/>
            <w:vAlign w:val="bottom"/>
            <w:gridSpan w:val="2"/>
          </w:tcPr>
          <w:p>
            <w:pPr>
              <w:jc w:val="right"/>
              <w:ind w:right="2320"/>
              <w:spacing w:after="0"/>
              <w:rPr>
                <w:sz w:val="20"/>
                <w:szCs w:val="20"/>
                <w:color w:val="auto"/>
              </w:rPr>
            </w:pPr>
            <w:r>
              <w:rPr>
                <w:rFonts w:ascii="Times New Roman" w:cs="Times New Roman" w:eastAsia="Times New Roman" w:hAnsi="Times New Roman"/>
                <w:sz w:val="18"/>
                <w:szCs w:val="18"/>
                <w:color w:val="auto"/>
              </w:rPr>
              <w:t>33-1007393</w:t>
            </w:r>
          </w:p>
        </w:tc>
      </w:tr>
      <w:tr>
        <w:trPr>
          <w:trHeight w:val="191"/>
        </w:trPr>
        <w:tc>
          <w:tcPr>
            <w:tcW w:w="5640" w:type="dxa"/>
            <w:vAlign w:val="bottom"/>
            <w:tcBorders>
              <w:top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gridSpan w:val="2"/>
          </w:tcPr>
          <w:p>
            <w:pPr>
              <w:jc w:val="center"/>
              <w:ind w:right="194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6"/>
          </w:tcPr>
          <w:p>
            <w:pPr>
              <w:jc w:val="center"/>
              <w:ind w:right="20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680" w:type="dxa"/>
            <w:vAlign w:val="bottom"/>
            <w:gridSpan w:val="6"/>
          </w:tcPr>
          <w:p>
            <w:pPr>
              <w:jc w:val="center"/>
              <w:ind w:right="2020"/>
              <w:spacing w:after="0"/>
              <w:rPr>
                <w:sz w:val="20"/>
                <w:szCs w:val="20"/>
                <w:color w:val="auto"/>
              </w:rPr>
            </w:pPr>
            <w:r>
              <w:rPr>
                <w:rFonts w:ascii="Times New Roman" w:cs="Times New Roman" w:eastAsia="Times New Roman" w:hAnsi="Times New Roman"/>
                <w:sz w:val="18"/>
                <w:szCs w:val="18"/>
                <w:color w:val="auto"/>
                <w:w w:val="99"/>
              </w:rPr>
              <w:t>91 43rd Street, Suite 110 Pittsburgh, Pennsylvania</w:t>
            </w:r>
          </w:p>
        </w:tc>
        <w:tc>
          <w:tcPr>
            <w:tcW w:w="3560" w:type="dxa"/>
            <w:vAlign w:val="bottom"/>
            <w:gridSpan w:val="2"/>
          </w:tcPr>
          <w:p>
            <w:pPr>
              <w:jc w:val="right"/>
              <w:ind w:right="2520"/>
              <w:spacing w:after="0"/>
              <w:rPr>
                <w:sz w:val="20"/>
                <w:szCs w:val="20"/>
                <w:color w:val="auto"/>
              </w:rPr>
            </w:pPr>
            <w:r>
              <w:rPr>
                <w:rFonts w:ascii="Times New Roman" w:cs="Times New Roman" w:eastAsia="Times New Roman" w:hAnsi="Times New Roman"/>
                <w:sz w:val="18"/>
                <w:szCs w:val="18"/>
                <w:color w:val="auto"/>
              </w:rPr>
              <w:t>15201</w:t>
            </w:r>
          </w:p>
        </w:tc>
      </w:tr>
      <w:tr>
        <w:trPr>
          <w:trHeight w:val="228"/>
        </w:trPr>
        <w:tc>
          <w:tcPr>
            <w:tcW w:w="56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gridSpan w:val="2"/>
          </w:tcPr>
          <w:p>
            <w:pPr>
              <w:jc w:val="center"/>
              <w:ind w:right="192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5060" w:type="dxa"/>
            <w:vAlign w:val="bottom"/>
            <w:gridSpan w:val="2"/>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(412) 432-1500</w:t>
            </w:r>
          </w:p>
        </w:tc>
        <w:tc>
          <w:tcPr>
            <w:tcW w:w="1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37"/>
        </w:trPr>
        <w:tc>
          <w:tcPr>
            <w:tcW w:w="2820" w:type="dxa"/>
            <w:vAlign w:val="bottom"/>
          </w:tcPr>
          <w:p>
            <w:pPr>
              <w:spacing w:after="0"/>
              <w:rPr>
                <w:sz w:val="20"/>
                <w:szCs w:val="20"/>
                <w:color w:val="auto"/>
              </w:rPr>
            </w:pPr>
          </w:p>
        </w:tc>
        <w:tc>
          <w:tcPr>
            <w:tcW w:w="486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88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19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19685</wp:posOffset>
            </wp:positionV>
            <wp:extent cx="4774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233"/>
        </w:trPr>
        <w:tc>
          <w:tcPr>
            <w:tcW w:w="3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bottom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jc w:val="center"/>
              <w:ind w:right="75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36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82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jc w:val="center"/>
              <w:ind w:right="750"/>
              <w:spacing w:after="0" w:line="193" w:lineRule="exact"/>
              <w:rPr>
                <w:sz w:val="20"/>
                <w:szCs w:val="20"/>
                <w:color w:val="auto"/>
              </w:rPr>
            </w:pPr>
            <w:r>
              <w:rPr>
                <w:rFonts w:ascii="Times New Roman" w:cs="Times New Roman" w:eastAsia="Times New Roman" w:hAnsi="Times New Roman"/>
                <w:sz w:val="18"/>
                <w:szCs w:val="18"/>
                <w:color w:val="auto"/>
                <w:w w:val="97"/>
              </w:rPr>
              <w:t>AGPU</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80" w:right="33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7160" w:space="720"/>
            <w:col w:w="3360"/>
          </w:cols>
          <w:pgMar w:left="320" w:top="580" w:right="339" w:bottom="1440" w:gutter="0" w:footer="0" w:header="0"/>
          <w:type w:val="continuous"/>
        </w:sectPr>
      </w:pPr>
    </w:p>
    <w:p>
      <w:pPr>
        <w:spacing w:after="0" w:line="1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11, 2026, the registrant had 10,404,641 shares of common stock, par value $0.01 per share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40" w:type="dxa"/>
            <w:vAlign w:val="bottom"/>
            <w:gridSpan w:val="8"/>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AXE COMPUTE INC.</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40" w:type="dxa"/>
            <w:vAlign w:val="bottom"/>
            <w:gridSpan w:val="8"/>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9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7"/>
              </w:rPr>
              <w:t>PART I. FINANCIAL INFORMATION</w:t>
            </w:r>
          </w:p>
        </w:tc>
        <w:tc>
          <w:tcPr>
            <w:tcW w:w="7320" w:type="dxa"/>
            <w:vAlign w:val="bottom"/>
            <w:gridSpan w:val="11"/>
            <w:vMerge w:val="restart"/>
          </w:tcPr>
          <w:p>
            <w:pPr>
              <w:spacing w:after="0"/>
              <w:rPr>
                <w:sz w:val="24"/>
                <w:szCs w:val="24"/>
                <w:color w:val="auto"/>
              </w:rPr>
            </w:pPr>
          </w:p>
        </w:tc>
        <w:tc>
          <w:tcPr>
            <w:tcW w:w="10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900" w:type="dxa"/>
            <w:vAlign w:val="bottom"/>
            <w:gridSpan w:val="9"/>
            <w:vMerge w:val="continue"/>
          </w:tcPr>
          <w:p>
            <w:pPr>
              <w:spacing w:after="0"/>
              <w:rPr>
                <w:sz w:val="14"/>
                <w:szCs w:val="14"/>
                <w:color w:val="auto"/>
              </w:rPr>
            </w:pPr>
          </w:p>
        </w:tc>
        <w:tc>
          <w:tcPr>
            <w:tcW w:w="7320" w:type="dxa"/>
            <w:vAlign w:val="bottom"/>
            <w:gridSpan w:val="11"/>
            <w:vMerge w:val="continue"/>
          </w:tcPr>
          <w:p>
            <w:pPr>
              <w:spacing w:after="0"/>
              <w:rPr>
                <w:sz w:val="14"/>
                <w:szCs w:val="14"/>
                <w:color w:val="auto"/>
              </w:rPr>
            </w:pPr>
          </w:p>
        </w:tc>
        <w:tc>
          <w:tcPr>
            <w:tcW w:w="102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4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8"/>
              </w:rPr>
              <w:t>ITEM 1. UNAUDITED CONDENSED CONSOLIDATED FINANCIAL STATEMENTS</w:t>
            </w:r>
          </w:p>
        </w:tc>
        <w:tc>
          <w:tcPr>
            <w:tcW w:w="3420" w:type="dxa"/>
            <w:vAlign w:val="bottom"/>
            <w:gridSpan w:val="6"/>
          </w:tcPr>
          <w:p>
            <w:pPr>
              <w:spacing w:after="0"/>
              <w:rPr>
                <w:sz w:val="24"/>
                <w:szCs w:val="24"/>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NET LOSS FOR THE THREE MONTHS ENDED MARCH 31, 2026 AND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gridSpan w:val="3"/>
          </w:tcPr>
          <w:p>
            <w:pPr>
              <w:ind w:left="660"/>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(DEFICIT) FOR THE THREE MONTHS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ENDED MARCH 31, 2026 AND 2025</w:t>
            </w:r>
          </w:p>
        </w:tc>
        <w:tc>
          <w:tcPr>
            <w:tcW w:w="20" w:type="dxa"/>
            <w:vAlign w:val="bottom"/>
          </w:tcPr>
          <w:p>
            <w:pPr>
              <w:spacing w:after="0"/>
              <w:rPr>
                <w:sz w:val="17"/>
                <w:szCs w:val="17"/>
                <w:color w:val="auto"/>
              </w:rPr>
            </w:pPr>
          </w:p>
        </w:tc>
        <w:tc>
          <w:tcPr>
            <w:tcW w:w="10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AND 2025</w:t>
            </w:r>
          </w:p>
        </w:tc>
        <w:tc>
          <w:tcPr>
            <w:tcW w:w="8760" w:type="dxa"/>
            <w:vAlign w:val="bottom"/>
            <w:gridSpan w:val="15"/>
          </w:tcPr>
          <w:p>
            <w:pPr>
              <w:spacing w:after="0"/>
              <w:rPr>
                <w:sz w:val="17"/>
                <w:szCs w:val="17"/>
                <w:color w:val="auto"/>
              </w:rPr>
            </w:pPr>
          </w:p>
        </w:tc>
        <w:tc>
          <w:tcPr>
            <w:tcW w:w="10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68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ITEM 3. QUANTITATIVE AND QUALITATIVE DISCLOSURES ABOUT MARKET RISK</w:t>
            </w:r>
          </w:p>
        </w:tc>
        <w:tc>
          <w:tcPr>
            <w:tcW w:w="2760" w:type="dxa"/>
            <w:vAlign w:val="bottom"/>
            <w:tcBorders>
              <w:top w:val="single" w:sz="8" w:color="0000EE"/>
            </w:tcBorders>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2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662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PART II. OTHER INFORMATION</w:t>
            </w:r>
          </w:p>
        </w:tc>
        <w:tc>
          <w:tcPr>
            <w:tcW w:w="7640" w:type="dxa"/>
            <w:vAlign w:val="bottom"/>
            <w:gridSpan w:val="12"/>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732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2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ITEM 1A. RISK FACTORS</w:t>
            </w:r>
          </w:p>
        </w:tc>
        <w:tc>
          <w:tcPr>
            <w:tcW w:w="784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9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67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316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700" w:type="dxa"/>
            <w:vAlign w:val="bottom"/>
            <w:tcBorders>
              <w:top w:val="single" w:sz="8" w:color="0000EE"/>
            </w:tcBorders>
            <w:gridSpan w:val="2"/>
          </w:tcPr>
          <w:p>
            <w:pPr>
              <w:spacing w:after="0"/>
              <w:rPr>
                <w:sz w:val="24"/>
                <w:szCs w:val="24"/>
                <w:color w:val="auto"/>
              </w:rPr>
            </w:pPr>
          </w:p>
        </w:tc>
        <w:tc>
          <w:tcPr>
            <w:tcW w:w="604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9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5. OTHER INFORMATION</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ITEM 6. EXHIBITS</w:t>
            </w:r>
          </w:p>
        </w:tc>
        <w:tc>
          <w:tcPr>
            <w:tcW w:w="1080" w:type="dxa"/>
            <w:vAlign w:val="bottom"/>
            <w:tcBorders>
              <w:top w:val="single" w:sz="8" w:color="0000EE"/>
            </w:tcBorders>
            <w:gridSpan w:val="3"/>
          </w:tcPr>
          <w:p>
            <w:pPr>
              <w:spacing w:after="0"/>
              <w:rPr>
                <w:sz w:val="24"/>
                <w:szCs w:val="24"/>
                <w:color w:val="auto"/>
              </w:rPr>
            </w:pPr>
          </w:p>
        </w:tc>
        <w:tc>
          <w:tcPr>
            <w:tcW w:w="732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39</w:t>
            </w:r>
          </w:p>
        </w:tc>
        <w:tc>
          <w:tcPr>
            <w:tcW w:w="0" w:type="dxa"/>
            <w:vAlign w:val="bottom"/>
          </w:tcPr>
          <w:p>
            <w:pPr>
              <w:spacing w:after="0"/>
              <w:rPr>
                <w:sz w:val="1"/>
                <w:szCs w:val="1"/>
                <w:color w:val="auto"/>
              </w:rPr>
            </w:pPr>
          </w:p>
        </w:tc>
      </w:tr>
      <w:tr>
        <w:trPr>
          <w:trHeight w:val="669"/>
        </w:trPr>
        <w:tc>
          <w:tcPr>
            <w:tcW w:w="1100" w:type="dxa"/>
            <w:vAlign w:val="bottom"/>
            <w:tcBorders>
              <w:top w:val="single" w:sz="8" w:color="0000EE"/>
            </w:tcBorders>
            <w:gridSpan w:val="4"/>
          </w:tcPr>
          <w:p>
            <w:pPr>
              <w:spacing w:after="0"/>
              <w:rPr>
                <w:sz w:val="24"/>
                <w:szCs w:val="24"/>
                <w:color w:val="auto"/>
              </w:rPr>
            </w:pPr>
          </w:p>
        </w:tc>
        <w:tc>
          <w:tcPr>
            <w:tcW w:w="5160" w:type="dxa"/>
            <w:vAlign w:val="bottom"/>
            <w:gridSpan w:val="9"/>
          </w:tcPr>
          <w:p>
            <w:pPr>
              <w:jc w:val="center"/>
              <w:ind w:left="3790"/>
              <w:spacing w:after="0"/>
              <w:rPr>
                <w:sz w:val="20"/>
                <w:szCs w:val="20"/>
                <w:color w:val="auto"/>
              </w:rPr>
            </w:pPr>
            <w:r>
              <w:rPr>
                <w:rFonts w:ascii="Times New Roman" w:cs="Times New Roman" w:eastAsia="Times New Roman" w:hAnsi="Times New Roman"/>
                <w:sz w:val="18"/>
                <w:szCs w:val="18"/>
                <w:color w:val="auto"/>
                <w:w w:val="88"/>
              </w:rPr>
              <w:t>3</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certain information in this Quarterly Report on Form 10-Q includes forward-looking statements within the meaning of Section 27A of the Securities Act of 1933, as amended ("Securities Act") and Section 21E of the Securities Exchange Act of 1934, as amended ("Exchange Act"). All statements, other than statements of historical facts, including statements concerning our plans, objectives, goals, beliefs, business strategies, future events, business conditions, our results of operations, financial position and our business outlook, business trends and other information, may be forward-looking statements. You can identify these forward-looking statements by the words "believes," "intends," "expects," “might,” "may," "will," "should," "plans," "projects," "contemplates," "intends," "budgets," “potential,” "predicts," "estimates," "anticipates," “future,” “goal,” and variations of such words or similar expressions. These statements are based on our beliefs, as well as assumptions we have used based upon information currently available to us. Because these statements reflect our current views concerning future events, these statements involve risks, uncertainties, and assumptions, many of which, by their nature, are inherently uncertain and beyond our control. Our expectations, beliefs, estimates and projections are expressed in good faith and we believe there is a reasonable basis for them. However, there can be no assurance that management’s expectations, beliefs, estimates and projections will result or be achieved, and actual future results may differ materially from what is expressed in or indicated by the forward-looking statements. Factors that might cause such differences include, but are not limited to, those discussed in Part I, Item 1A, under the heading “Risk Factors,” in our Annual Report on Form 10-K for the year ended December 31, 2025 filed with the Securities and Exchange Commission (“SEC”) on March 31, 2026, and under “Part II, Item 1A., Risk Factors” in this Quarterly Report on Form 10-Q, if and as such risk factors may be updated from time to time in our periodic filings with the SEC. We may not actually achieve the plans, intentions or expectations disclosed in our forward-looking statements, and a reader, whether investing in our common stock or not, should not place undue reliance on these forward-looking statements. Our forward-looking statements do not reflect the potential impact of any future acquisitions, mergers, dispositions, joint ventures or investments.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Quarterly Report on Form 10-Q apply only as of the date of this Quarterly Report on Form 10-Q or as of the date they were made or as otherwise specified herein. We assume no obligation to revise or update any forward-looking statements for any reason,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AXE COMPUTE INC.</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6,925,244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10,790,850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659,325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32,120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337,955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280,904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20,233,245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24,439,598</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 receivable</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9,436,590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7,226,475</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37,592,359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42,769,947</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 receivable, net of current portion</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5,929,022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8,258,681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216,856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223,128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1,487,703</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148,887</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45,222,576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52,888,346</w:t>
            </w:r>
          </w:p>
        </w:tc>
      </w:tr>
      <w:tr>
        <w:trPr>
          <w:trHeight w:val="209"/>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1,345,926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1,840,608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107,951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1,520,518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786,316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144,076</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680,470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653,743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4,227,281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4,266,896</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net of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724,535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904,495</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4,951,816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5,171,391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 (Note 8)</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20,000,000 shares authorized inclusive of designated below</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$.01 par value, 2,300,000 shares authorized, 79,246 shares outstanding</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March 31, 2026 and December 31, 2025</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$.01 par value, 200,000,000 shares authorized, 5,539,267 and 4,083,173 shares outstanding</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and December 31, 2025, respectively</w:t>
            </w:r>
          </w:p>
        </w:tc>
        <w:tc>
          <w:tcPr>
            <w:tcW w:w="1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40,832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461,444,992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461,196,805</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(421,230,417)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(413,521,474)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40,270,760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47,716,955</w:t>
            </w: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45,222,576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52,888,346</w:t>
            </w:r>
          </w:p>
        </w:tc>
      </w:tr>
      <w:tr>
        <w:trPr>
          <w:trHeight w:val="425"/>
        </w:trPr>
        <w:tc>
          <w:tcPr>
            <w:tcW w:w="9580" w:type="dxa"/>
            <w:vAlign w:val="bottom"/>
            <w:gridSpan w:val="3"/>
          </w:tcPr>
          <w:p>
            <w:pPr>
              <w:jc w:val="center"/>
              <w:ind w:left="1570"/>
              <w:spacing w:after="0"/>
              <w:rPr>
                <w:sz w:val="20"/>
                <w:szCs w:val="20"/>
                <w:color w:val="auto"/>
              </w:rPr>
            </w:pPr>
            <w:r>
              <w:rPr>
                <w:rFonts w:ascii="Times New Roman" w:cs="Times New Roman" w:eastAsia="Times New Roman" w:hAnsi="Times New Roman"/>
                <w:sz w:val="18"/>
                <w:szCs w:val="18"/>
                <w:color w:val="auto"/>
                <w:w w:val="99"/>
              </w:rPr>
              <w:t>See accompanying notes to unaudited condensed consolidated financial statements.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32"/>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AXE COMPUTE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NET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110,310</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digital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(4,296,268)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6,770</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2,905,122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1,828,200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520,406</w:t>
            </w: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3,633</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3,467,724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2,397,357</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(7,728,681)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(2,287,047)</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3,428</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(7,708,943)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(2,285,416)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(157,457)</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(7,708,943)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(2,442,873)</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 basic and diluted: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computation – basic and diluted</w:t>
            </w: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21,184,617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476,835</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AXE COMPUTE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620" w:type="dxa"/>
            <w:vAlign w:val="bottom"/>
          </w:tcPr>
          <w:p>
            <w:pPr>
              <w:spacing w:after="0"/>
              <w:rPr>
                <w:sz w:val="18"/>
                <w:szCs w:val="18"/>
                <w:color w:val="auto"/>
              </w:rPr>
            </w:pPr>
          </w:p>
        </w:tc>
        <w:tc>
          <w:tcPr>
            <w:tcW w:w="21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tcPr>
          <w:p>
            <w:pPr>
              <w:spacing w:after="0"/>
              <w:rPr>
                <w:sz w:val="18"/>
                <w:szCs w:val="18"/>
                <w:color w:val="auto"/>
              </w:rPr>
            </w:pPr>
          </w:p>
        </w:tc>
      </w:tr>
      <w:tr>
        <w:trPr>
          <w:trHeight w:val="238"/>
        </w:trPr>
        <w:tc>
          <w:tcPr>
            <w:tcW w:w="33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792</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4,083,173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40,832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$ 461,196,805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(413,521,474)</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$47,716,955</w:t>
            </w: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related to</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instruments granted to employees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111,358</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111,358</w:t>
            </w:r>
          </w:p>
        </w:tc>
      </w:tr>
      <w:tr>
        <w:trPr>
          <w:trHeight w:val="198"/>
        </w:trPr>
        <w:tc>
          <w:tcPr>
            <w:tcW w:w="3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net, in</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 restricted stock units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13,242</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to non-employees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23,613</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168,597</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168,833</w:t>
            </w:r>
          </w:p>
        </w:tc>
      </w:tr>
      <w:tr>
        <w:trPr>
          <w:trHeight w:val="198"/>
        </w:trPr>
        <w:tc>
          <w:tcPr>
            <w:tcW w:w="3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pursuant to pre-funded</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exercises</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1,419,239</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14,192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(7,708,943)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(7,708,943)</w:t>
            </w: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792</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5,539,267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55,394</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$ 461,444,992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(421,230,417)</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$40,270,760</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1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21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21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33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792</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444,475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4,445</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$ 180,218,424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(180,426,271)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(202,610)</w:t>
            </w: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pursuant to warrant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exercises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95,601</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956</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1,533,426</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1,534,382</w:t>
            </w:r>
          </w:p>
        </w:tc>
      </w:tr>
      <w:tr>
        <w:trPr>
          <w:trHeight w:val="198"/>
        </w:trPr>
        <w:tc>
          <w:tcPr>
            <w:tcW w:w="3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pursuant to Registered</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Offering, net of issuance costs</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24,223</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465,063</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465,305</w:t>
            </w:r>
          </w:p>
        </w:tc>
      </w:tr>
      <w:tr>
        <w:trPr>
          <w:trHeight w:val="198"/>
        </w:trPr>
        <w:tc>
          <w:tcPr>
            <w:tcW w:w="3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pursuant to Renovaro</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Extension Agreement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31,153</w:t>
            </w: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499,688</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(2,442,873)</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(2,442,873)</w:t>
            </w: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79,246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792</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595,452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5,955</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$ 182,716,601</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(182,869,144)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(145,796)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AXE COMPUTE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continuing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(7,708,943)</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(2,442,873)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(loss)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(157,457)</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(7,708,943)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(2,285,416)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133,455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booking compute using digital 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Gains/losses on digital assets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4,296,268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77,578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169,955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35,674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1,179,275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642,240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(72,500)</w:t>
            </w:r>
          </w:p>
        </w:tc>
      </w:tr>
      <w:tr>
        <w:trPr>
          <w:trHeight w:val="22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continuing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(3,746,423)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(985,840)</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continuing 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continuing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 continuing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2,579,386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to issue common stock and warrants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taxes related to net share settlement of restricted stock units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continuing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2,499,687</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229,494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625,000</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discontinued operations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854,494</w:t>
            </w:r>
          </w:p>
        </w:tc>
      </w:tr>
      <w:tr>
        <w:trPr>
          <w:trHeight w:val="210"/>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(3,865,606)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2,368,341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from continuing operations at beginning of period</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10,790,850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611,822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from discontinued operations at beginning of period</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122,851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from discontinued operations at end of period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from continuing operations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6,925,244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3,087,588</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for cash flow information:</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1,797</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transactions: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issued to settle accrued compensation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168,833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vested RSUs, net of shares withheld for taxes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gain on prepayment using digital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AXE COMPUTE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Axe Compute Inc. (“Axe Compute” or the “Company”) provides customers with access to graphics processing unit (“GPU”) compute capacity for artificial intelligence (“AI”) and other high-performance computing workloads through a distributed network model, including infrastructure made available through the Aethir network. The Company operates a digital asset treasury (the “Treasury Strategy”) focused on the Aethir token (“ATH”), the native utility token of the Aethir network. Collectively, these activities are referred to as the Compute Services and Treasury Management operating segment. The Company has operated this segment since late 2025 when it undertook a significant strategic shift by adopting the Treasury Strategy and began expanding its business strategy to include the GPU compute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maintains its legacy oncology drug discovery solutions business, which was previously conducted under the Predictive Oncology Inc. name. Current operations in this business are limited, and in February 2026, the Company announced that it is exploring strategic alternatives, including a potential sale or other disposition. However, the Company’s Board of Directors has not committed to a specific course of action. Historically, this business applied AI to support the discovery and development of cancer therapies, with the objective of improving treatment effectiveness and patient outcomes. The business leveraged AI capabilities to provide actionable insights about drug compounds to improve the drug discovery process and increase the probability of drug compound success. Accordingly, the oncology drug discovery solutions business did not meet the criteria under Financial Accounting Standards Board (the “FASB”) Accounting Standards Codification (“ASC”) 205-20,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to be classified as discontinued operations and held for sale, and therefore is reflected as continuing operations within these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further discussion of the Company’s operating segments as of and for the three months ended March 31, 2026, see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Aethir Treasury Strategy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29, 2025, the Company announced the launch of its Treasury Strategy focused on ATH. Aethir is a leading decentralized physical infrastructure network developed by DCI Foundation, a Panama foundation company (“DCI”), that provides a decentralized GPU network, connecting producers and consumers of GPU compute power at enterprise scale, supporting applications such as artificial intelligence computation, gaming and cloud workloads. ATH, the native token of the Aethir network, is a utility token used for GPU rentals, staking, validation and the provision of network rewards on the Aethir network. ATH functions as a proxy for a unit of GPU compute power and serves as a medium of exchange and unit of incentives for participants in the Aethir network. Participants in the Aethir network can generate yield or other rewards by staking or lending ATH or by otherwise serving as a source of ATH liquidity.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Treasury Strategy, the Company intends to continue acquiring additional ATH in the open market and intends to earn yield on its ATH treasury holdings by engaging in ATH staking and other activities, though the Company had not yet commenced any staking activities as of March 31, 2026. As a holder of ATH, the Company accrues unrealized gains or losses from any appreciation or depreciation, as applicable, in the value of ATH tokens, which trade on various cryptocurrency exchanges.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Treasury Strategy is overseen by the Cryptocurrency Subcommittee of the Company’s board of directors. The Company’s management is focusing its resources on the Treasury Strategy and a significant portion of the Company’s balance sheet will be allocated to holding ATH pursuant to its Treasury Strategy.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Treasury Strategy is primarily dedicated to ATH, and the Company does not intend to allocate treasury assets to other digital assets in the near term. As a result, the Company’s assets will be highly concentrated in a single digital asset. Adverse developments specific to ATH, its protocol, or its network could have a disproportionate impact on the Company’s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Treasury Strategy is intended to bring value to its stockholders through the following:</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proceeds from equity and debt financings to purchase and hold ATH;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staking the majority of the ATH in the Company’s treasury to earn a staking yield and turn the treasury into a productive asset;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locked ATH at a discount to the current spot price;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the Company’s ATH holdings, whether on the open market, through block trades, or other negotiated transactions, for various reasons and at various times, including, in order to fund its working capital and general corporate needs.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arrangements with customers as a GPU compute services provider where the Company procures GPU compute capacity and resells that capacity to downstream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subheading “Risks and Uncertainties” below for further discussion regarding risks related to the Company’s Treasury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Since the adoption of the Company’s Treasury Strategy, the Company has raised capital through private investment in public equity (“PIPE”) transactions and at-the-market (“ATM”) sales of shares of common stock. The Company has deployed the majority of the cash proceeds from these transactions to acquire ATH. Additional details regarding these equity offerings are included in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These capital raises have strengthened the Company’s liquidity position, and the $6.9 million of cash and cash equivalents remaining as of March 31, 2026, together with $20.2 million of digital assets, represent readily accessible sources of liquidity. The Company believes its sources of liquidity will be sufficient to allow the Company to fund its planned operations for at least the next twelve months from the date of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2025, the Company’s stockholders approved an amendment to the Company’s certificate of incorporation, as amended, to effect a one-for-fifteen reverse stock split of the Company’s common stock. On September 29, 2025, the Company completed a one-for-fifteen reverse stock split that was effective for trading purposes on September 30, 2025 (the “Reverse Stock Split”). All numbers of shares and per-share amounts in this report have been adjusted to reflect the Reverse Stock Split.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Reverse Stock Split, every 15 shares of issued and outstanding common stock were combined into one issued and outstanding share of common stock, without any change in the par value per share. No fractional shares were issued as a result of the Reverse Stock Split and any fractional shares that would otherwise have resulted from the Reverse Stock Split were rounded up to the nearest whole share. The Reverse Stock Split did not change the total number of authorized shares of common stock or preferred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condensed consolidated financial statements and related unaudited financial information in the notes in accordance with GAAP and the rules and regulations of the Securities and Exchange Commission (“SEC”) for interim condensed consolidated financial statements. Accordingly, they do not include all of the information and footnotes required by U.S. GAAP for complete financial statements. These interim condensed consolidated financial statements reflect all adjustments consisting of normal recurring adjustments, which in the opinion of management, are necessary to present fairly the Company’s position, the results of its operations, and its cash flows for the interim periods. These interim condensed consolidated financial statements reflect all intercompany eliminations. These interim condensed consolidated financial statements should be read in conjunction with the annual consolidated financial statements and the notes thereto contained in the Annual Report on Form 10-K filed with the SEC on March 31, 2026.</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and for the three months ended March 31, 2026, and 2025, the Company had two wholly owned subsidiaries, Helomics Corporation and Skyline Medical Inc. (“Skyline Medical”). On March 14, 2025, the Company sold the Skyline Medical business pursuant to an asset purchase agreement with DeRoyal Industries, Inc.; however, Skyline Medical remained a wholly owned subsidiary of Axe Compute following the transaction, with its activities limited to wind-down efforts that were substantially completed as of December 31, 2025. The condensed consolidated financial statements include the accounts of the Company and these wholly owned subsidiaries, with all intercompany transactions and balances eliminated, as of and for the three months ended March 31,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2025, the Company disposed of its former Eagan operating segment. Disposal groups that meet the discontinued operations criteria provided in ASC 205-20-45 are classified as discontinued operations. Assets and liabilities of discontinued operations are presented separately in the Company’s condensed consolidated balance sheets and results of discontinued operations are reported as a separate component of net loss in the Company’s condensed consolidated statements of net loss for all periods presented, resulting in changes to the presentation of certain prior period amounts. Results of discontinued operations are excluded from segment results for all periods presented. Cash flows from discontinued operations are also reported separately in the Company’s condensed consolidated statements of cash flows.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additional discussion of discontinued operations. All other notes to these condensed consolidated financial statements present the results of continuing operations and exclude amounts related to discontinued operations for all periods presented.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liabilities, revenues and expenses and disclosure of contingent assets and liabilities at the date of the condensed consolidated financial statements and during the reporting period. Actual results could materially differ from those estimates. Estimates are used in the following areas, among others: variable consideration associated with revenue recognition, stock-based compensation expense, fair value of derivatives including embedded derivatives, fair value of digital assets, fair value of long-lived assets for impairment analyses, the valuation allowance included in the deferred income tax calculation, and accrued expenses.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2 to the annual consolidated financial statements contained in the Annual Report on Form 10-K filed with the SEC on March 31, 2026, describes the significant accounting policies and estimates used in preparation of the consolidated financial statements. There have been no material changes in the Company’s significant accounting policies during the three months ended March 31, 2026, with the exception of the items noted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Revenues from GPU Compute Services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 Company’s GPU Compute Services segment is generated from subscription-based arrangements with enterprise, research, and commercial customers under master services agreements and related order forms. These arrangements provide customers with continuous access to specified GPU compute resources (including GPU type, quantity, and configuration) at designated data center locations over defined service periods, which may range from month-to-month to multi-year terms. Certain contracts also include ancillary storage services, which are accounted for as separate performance obligations when distinct.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procures GPU compute capacity from third-party node operators and decentralized cloud infrastructure platforms and resells that capacity to its customers. The Company has concluded that it acts as a principal in these arrangements, as it controls the GPU compute services prior to transferring to the customer, including directing the use of, and obtaining substantially all benefits from, the underlying capacity. Additionally, the Company bears inventory risk and has full discretion regarding the pricing of contracts with customers. Accordingly, revenue is recognized on a gross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GPU compute and related storage services are each considered a series of distinct services that are substantially the same and are satisfied over time, as customers simultaneously receive and consume the benefits of these services as they are provided. Revenue is recognized over time using an output method that faithfully depicts the Company’s performance. For fixed-fee arrangements, revenue is recognized on a straight-line basis over the applicable service period, as the customer receives a consistent level of benefit throughout the term. Usage-based fees, including overage charges based on GPU-hours consumed in excess of contractual limits, are recognized as revenue in the period in which the usage occurs.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price primarily consists of fixed monthly subscription fees, which are generally non-cancellable and non-refundable during the contract term. Arrangements might include usage-based overages; however, for the period ending March 31, 2026, any variable consideration was immaterial. Variable consideration is included in revenue only to the extent it is probable that a significant reversal will not occur. For contracts with multiple performance obligations, such as combined GPU compute and storage services, the transaction price is allocated to performance obligations based on relative standalone selling prices. The Company has concluded that these arrangements do not contain significant financing components.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1 to the annual consolidated financial statements contained in the Annual Report on Form 10-K filed with the SEC on March 31, 2026, describes certain risks and uncertainties associated with the Company and relevant to the Company’s consolidated financial statements. There have been no additional risks and uncertainties identified by Management in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FASB. Recently issued ASUs not listed below either were assessed and determined to be not applicable or are currently expected to have no impact on the consolidated financial statements of the Company.</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This ASU requires more detailed disclosures related to certain costs and expenses. The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entities to disclose amounts of certain expense categories included in expense captions presented on the face of the income statement, including purchases of inventory, employee compensation, depreciation, and intangible asset amortization. This ASU is effective for fiscal years beginning after December 15, 2026, and for interim periods beginning after December 15, 2027, with early adoption permitted. The disclosure requirements may be applied either prospectively or retrospectively. Management is currently evaluating this ASU to determine its impact on the Company’s disclosures.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DISCONTINUED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14, 2025, the Company entered into an asset purchase agreement (the “APA”) and closed the transactions contemplated therein with DeRoyal Industries, Inc., a Tennessee corporation (“DeRoyal”), to sell and assign to DeRoyal assets and liabilities exclusively related to the business of providing products for automated, direct-to-drain medical fluid disposal, including the Company’s STREAMWAY® product line (the “Eagan Business”). These assets were operated by the Company’s wholly owned subsidiary, Skyline Medical, and were previously reported in the Company’s Eagan operating segment. The purchased assets exclusively related to the Eagan Business included but were not limited to cash, certain accounts receivable, inventories, patents, fixed assets, and real property leased by the Company and exclusively used in connection with the Eagan Business. The total purchase price for the assets was $625,000, plus the assumption of certain liabilities related to the Eagan Business including the lease for the office and warehouse space located at 2915 Commers Drive Suite 900 Eagan, MN 55121, certain accounts payable, and contract liabilities associated with the Eagan Business. The ongoing activities of the former Eagan operating segment are limited to wind down activities. As a result of these developments, the former Eagan operating segments have been reclassified to discontinued operations in these condensed consolidated financial statements for all periods presented.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sheet as of March 31, 2026, does not include any assets and liabilities of discontinued operations. The following table presents a reconciliation of the carrying amounts of the major classes of assets and liabilities to the current assets and liabilities of discontinued operations as presented in the Company’s condensed consolidated balance sheet as of March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9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15,426</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54,038</w:t>
            </w:r>
          </w:p>
        </w:tc>
      </w:tr>
      <w:tr>
        <w:trPr>
          <w:trHeight w:val="229"/>
        </w:trPr>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28,183</w:t>
            </w:r>
          </w:p>
        </w:tc>
      </w:tr>
      <w:tr>
        <w:trPr>
          <w:trHeight w:val="21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97,647</w:t>
            </w:r>
          </w:p>
        </w:tc>
      </w:tr>
      <w:tr>
        <w:trPr>
          <w:trHeight w:val="216"/>
        </w:trPr>
        <w:tc>
          <w:tcPr>
            <w:tcW w:w="9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9"/>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4,031</w:t>
            </w:r>
          </w:p>
        </w:tc>
      </w:tr>
      <w:tr>
        <w:trPr>
          <w:trHeight w:val="210"/>
        </w:trPr>
        <w:tc>
          <w:tcPr>
            <w:tcW w:w="9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101,678</w:t>
            </w:r>
          </w:p>
        </w:tc>
      </w:tr>
      <w:tr>
        <w:trPr>
          <w:trHeight w:val="209"/>
        </w:trPr>
        <w:tc>
          <w:tcPr>
            <w:tcW w:w="9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2,066</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223,079</w:t>
            </w:r>
          </w:p>
        </w:tc>
      </w:tr>
      <w:tr>
        <w:trPr>
          <w:trHeight w:val="229"/>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89,040</w:t>
            </w:r>
          </w:p>
        </w:tc>
      </w:tr>
      <w:tr>
        <w:trPr>
          <w:trHeight w:val="209"/>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314,185</w:t>
            </w:r>
          </w:p>
        </w:tc>
      </w:tr>
      <w:tr>
        <w:trPr>
          <w:trHeight w:val="216"/>
        </w:trPr>
        <w:tc>
          <w:tcPr>
            <w:tcW w:w="9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314,185</w:t>
            </w: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statement of net loss as of March 31, 2026, does not include any discontinued operation activity. The following table provides details about the major classes of line items constituting the loss from discontinued operations presented in the Company’s condensed consolidated statement of net loss for the three months ended March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38"/>
        </w:trPr>
        <w:tc>
          <w:tcPr>
            <w:tcW w:w="46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10"/>
        </w:trPr>
        <w:tc>
          <w:tcPr>
            <w:tcW w:w="462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157,179</w:t>
            </w: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7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122,800</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from discontinued operations</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34,379</w:t>
            </w:r>
          </w:p>
        </w:tc>
      </w:tr>
      <w:tr>
        <w:trPr>
          <w:trHeight w:val="216"/>
        </w:trPr>
        <w:tc>
          <w:tcPr>
            <w:tcW w:w="46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103,238</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122,826</w:t>
            </w:r>
          </w:p>
        </w:tc>
      </w:tr>
      <w:tr>
        <w:trPr>
          <w:trHeight w:val="230"/>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7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130,318</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356,382</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(loss) from discontinued operations</w:t>
            </w:r>
          </w:p>
        </w:tc>
        <w:tc>
          <w:tcPr>
            <w:tcW w:w="4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(322,003)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4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172,451</w:t>
            </w:r>
          </w:p>
        </w:tc>
      </w:tr>
      <w:tr>
        <w:trPr>
          <w:trHeight w:val="230"/>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7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(7,905)</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4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(157,457)</w:t>
            </w:r>
          </w:p>
        </w:tc>
      </w:tr>
      <w:tr>
        <w:trPr>
          <w:trHeight w:val="425"/>
        </w:trPr>
        <w:tc>
          <w:tcPr>
            <w:tcW w:w="4620" w:type="dxa"/>
            <w:vAlign w:val="bottom"/>
          </w:tcPr>
          <w:p>
            <w:pPr>
              <w:spacing w:after="0"/>
              <w:rPr>
                <w:sz w:val="24"/>
                <w:szCs w:val="24"/>
                <w:color w:val="auto"/>
              </w:rPr>
            </w:pPr>
          </w:p>
        </w:tc>
        <w:tc>
          <w:tcPr>
            <w:tcW w:w="4780" w:type="dxa"/>
            <w:vAlign w:val="bottom"/>
          </w:tcPr>
          <w:p>
            <w:pPr>
              <w:jc w:val="right"/>
              <w:ind w:right="359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The gain on disposal of discontinued operations for the three months ended March 31, 2025, represents the gain on assets sold and liabilities assumed by DeRoyal.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CONTRACTS WITH CUSTOMERS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 receivable when it has an unconditional right to receive consideration based on contract terms. As of March 31, 2026 and December 31, 2025, accounts receivable totaled $0.7 million and $0.03 million, respectively. The allowance for accounts receivable balance was $0 as of both March 31, 2026, and December 31,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balance was concentrated among one customer as of March 31, 2026. One customer accounted for approximately 79% of total accounts receivable. The Company monitors the creditworthiness of its customers on an ongoing basis and believes that its credit risk is limited due to the financial strength and payment history of these customers. Management does not expect any material losses from these receivable concentrations and has not recorded an allowance for doubtful accounts, as all receivables are considered highly collectible.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Advance payments received in excess of revenues recognized and prepayment amounts are classified as contract liabilities until the appropriate revenue recognition criteria have been met. The Company has recorded contract liabilities related to Drug Discovery Services and Compute Services. As of March 31, 2026, the Company had contract liabilities of $0.8 million, of which $0.1 million related to Drug Discovery Services and $0.7 million related to Compute Services. As of December 31, 2025, the Company had contract liabilities of $0.1 million, all of which related to Drug Discovery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revenue was recorded relating to the contract liabilities as of December 31, 2025. The Company’s contract liabilities as of March 31, 2026, represent its remaining performance obligations for Drug Discovery Services and Compute Services that will be recognized as revenue over time as the services are delivered.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DIGITAL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digital assets, as presented on the condensed consolidated balance sheets for the periods indicated, consist primarily of ATH. ATH qualifies for recurring fair-value measurement under ASC 350-60,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Accounting for and Disclosure of Crypto Assets</w:t>
      </w:r>
      <w:r>
        <w:rPr>
          <w:rFonts w:ascii="Times New Roman" w:cs="Times New Roman" w:eastAsia="Times New Roman" w:hAnsi="Times New Roman"/>
          <w:sz w:val="18"/>
          <w:szCs w:val="18"/>
          <w:color w:val="auto"/>
        </w:rPr>
        <w:t xml:space="preserve">, with changes in fair value recognized in earnings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based on quoted (unadjusted) prices on the principal market of the Company for ATH (Level 1 inputs). The following table summarizes the number of units held, cost basis, and fair value of ATH as of March 31, 2026 and December 31,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Units Held</w:t>
            </w:r>
          </w:p>
        </w:tc>
        <w:tc>
          <w:tcPr>
            <w:tcW w:w="34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32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March 31,</w:t>
            </w:r>
          </w:p>
        </w:tc>
        <w:tc>
          <w:tcPr>
            <w:tcW w:w="3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3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2,832,954,016</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100,951,597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20,233,245</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w w:val="99"/>
              </w:rPr>
              <w:t>December</w:t>
            </w:r>
          </w:p>
        </w:tc>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31, 2025</w:t>
            </w:r>
          </w:p>
        </w:tc>
        <w:tc>
          <w:tcPr>
            <w:tcW w:w="3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2,837,163,868</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101,258,178</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24,439,334</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basis represents the purchase price of digital assets, including transaction fees, if any, at the time of acquisition or upon receipt. Fair value represents quoted prices for the digital assets in the Company’s principal market at 11:59 p.m. Eastern Time on each reporting date in accordance with the Company’s crypto-asset valuation policy.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a reconciliation of digital assets held, for ATH specific activity:</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9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For the Quarter</w:t>
            </w:r>
          </w:p>
        </w:tc>
      </w:tr>
      <w:tr>
        <w:trPr>
          <w:trHeight w:val="216"/>
        </w:trPr>
        <w:tc>
          <w:tcPr>
            <w:tcW w:w="9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9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24,439,334</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ATH used in operations</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(32,088)</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 (loss)</w:t>
            </w: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(4,174,001)</w:t>
            </w:r>
          </w:p>
        </w:tc>
      </w:tr>
      <w:tr>
        <w:trPr>
          <w:trHeight w:val="22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March 31,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20,233,245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Side Letter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private placement transactions completed in October 2025 to support the Treasury Strategy, the Company entered into a side letter agreement (the “Side Letter”) with DCI, effective October 7, 2025. Pursuant to the Side Letter, for each ATH token purchased by the Company in the open market, whether through centralized or decentralized exchanges operating on the Ethereum Network, DCI will grant the Company additional ATH tokens equal to 20% of the number of tokens purchased (the “Bonus ATH”), to be delivered within 30 days of the related purchase. The Bonus ATH is not subject to restrictions upon receipt.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the Side Letter as a derivative instrument. As of March 31, 2026 and December 31, 2025, respectively, no derivative asset was recognized, as all Bonus ATH associated with open market purchases made during the period had been received from DCI.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Company did not receive any Bonus ATH as there were no open market purchases of ATH made during the period. The cost basis of the ATH received in prior periods pursuant to the Side Letter and subsequent fair value adjustments thereto are recorded within “Gains (losses) on digital assets” on the condensed consolidated statements of operation.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the Company’s ATH holdings consists of contractual rights to receive ATH tokens that are subject to time-based vesting and transfer restrictions (“Locked ATH”). Locked ATH was obtained pursuant to Simple Agreements for Future Tokens (“SAFTs”) and is administered through an on-chain smart contract deployed on the Ethereum mainnet. Prior to vesting and claim, the Company does not have control of the underlying ATH tokens and is not able to transfer, sell, stake, pledge, or otherwise deploy such tokens.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smart contract enforces the applicable vesting schedules and restricts access to the ATH tokens until the vesting conditions are satisfied. Upon satisfaction of the vesting conditions, the Company must affirmatively claim the unlocked ATH tokens through the smart contract interface, at which point the tokens are released from restriction and transferred to a Company-controlled wallet. Until such claim occurs, the Locked ATH represents a contractual right to receive ATH in the future rather than a digital asset held by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held rights to receive ATH tokens that remain subject to vesting and claim requirements. The vesting period for these ATH tokens ranges from less than one month to approximately 3 years. These restrictions are specific to the underlying ATH tokens. Upon vesting and claim, the restrictions lapse and the Company obtains control of the ATH tokens, which may then be held, transferred to custodial accounts, staked, or otherwise deployed in accordance with the Company’s Treasury Strategy.</w:t>
      </w:r>
    </w:p>
    <w:p>
      <w:pPr>
        <w:spacing w:after="0" w:line="18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As of March 31, 2026, the Company recorded a digital asset receivable of $15.4 million related to the Locked ATH, consisting of a host receivable of $93.4 million, net of an embedded derivative liability measured at fair value of $78.0 million. The change in fair value of the embedded derivative of $0.1 million for the three months ended March 31, 2026, was recognized within “Gains (losses) on digital assets” in the condensed consolidated statements of net loss.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recorded a digital asset receivable of $15.5 million related to the Locked ATH, consisting of a host receivable of $93.4 million, net of an embedded derivative liability measured at fair value of $77.9 million. The change in fair value of the embedded derivative of $77.9 million for the year ended December 31, 2025 was recognized within “Gains (losses) on digital assets” in the condensed consolidated statements of net loss.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fair value hierarchy of the valuation inputs the Company utilized to determine such fair value as of March 31, 2026 and December 31, 2025, respectively. Fair value estimates do not necessarily represent the amounts that may be ultimately realized.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20,233,245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20,233,245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Embedded derivative related to digital asset receivable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78,013,025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78,013,025</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24,439,598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24,439,598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Embedded derivative related to digital asset receivable</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77,893,482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77,893,482</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embedded derivative related to the digital asset receivable must be remeasured at fair value each reporting period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Because there is no directly observable market for illiquid, contractually restricted ATH tokens subject to a time-based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the embedded derivative related to digital asset receivable is classified as Level 3. The key unobservable input is the discount applied to reflect the lack of transferability and control during the restriction period. The discount is determined based on the remaining vesting period from each reporting period to the date on which the tokens become fully vested and available to claim, and is reduced ratably at each subsequent measurement date until it reaches zero at full vesting. As of the quarter ended March 31, 2026, applied discounts ranged from approximately 25% to 50%. As of December 31, 2025, applied discounts ranged from approximately 30% to 55%. Changes in fair value of the embedded derivative are recognized in the consolidated statements of net loss within "Gains (losses) on digital assets." There were no transfers into or out of Level 3 of the fair value hierarchy during the quarter ended March 31, 2026, or the year ended December 31, 2025.</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AND EQUIPMENT, NET</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property and equipment, net consisted of the following:</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office equipment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170,350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166,847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166,847</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1,713,230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1,692,230</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2,050,427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2,029,427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(1,833,571)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(1,806,299)</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216,856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223,128</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recorded within general and administrative expenses of continuing operations, was $27,272and $31,467 for the three months ended March 31, 2026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No impairment charges related to property and equipment held and used in continuing operations were incurred during the three months ended March 31, 2026 and 2025,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In accordance with ASC 450, Contingencies (“ASC 450”), the Company accrues a liability for legal contingencies when it is probable that a liability has been incurred, and the amount of the loss can be reasonably estimated. If there is at least a reasonable possibility that a loss may be incurred, ASC 450 requires disclosure of a loss contingency.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Company’s contingencies as disclosed in the Form 10-K for the year ended December 31,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corporate offices and other offices are located in Pittsburgh, Pennsylvania. The leases are effective through February 29, 2028.</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expense under operating lease arrangements, recorded within general and administrative expenses of continuing operations, was $196,168 and $189,273 for the three months ended March 31, 2026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16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gross</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2,922,365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2,922,365</w:t>
            </w:r>
          </w:p>
        </w:tc>
      </w:tr>
      <w:tr>
        <w:trPr>
          <w:trHeight w:val="216"/>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(1,585,768)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(1,434,662)</w:t>
            </w: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1,336,597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1,487,703</w:t>
            </w:r>
          </w:p>
        </w:tc>
      </w:tr>
      <w:tr>
        <w:trPr>
          <w:trHeight w:val="216"/>
        </w:trPr>
        <w:tc>
          <w:tcPr>
            <w:tcW w:w="5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680,470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653,743</w:t>
            </w:r>
          </w:p>
        </w:tc>
      </w:tr>
      <w:tr>
        <w:trPr>
          <w:trHeight w:val="216"/>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724,535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904,495</w:t>
            </w:r>
          </w:p>
        </w:tc>
      </w:tr>
      <w:tr>
        <w:trPr>
          <w:trHeight w:val="21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7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1,405,005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1,558,238</w:t>
            </w:r>
          </w:p>
        </w:tc>
      </w:tr>
      <w:tr>
        <w:trPr>
          <w:trHeight w:val="210"/>
        </w:trPr>
        <w:tc>
          <w:tcPr>
            <w:tcW w:w="51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in years</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2.16</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14"/>
        </w:trPr>
        <w:tc>
          <w:tcPr>
            <w:tcW w:w="5160" w:type="dxa"/>
            <w:vAlign w:val="bottom"/>
          </w:tcPr>
          <w:p>
            <w:pPr>
              <w:spacing w:after="0"/>
              <w:rPr>
                <w:sz w:val="24"/>
                <w:szCs w:val="24"/>
                <w:color w:val="auto"/>
              </w:rPr>
            </w:pPr>
          </w:p>
        </w:tc>
        <w:tc>
          <w:tcPr>
            <w:tcW w:w="276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516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operating lease obligations as of March 31, 2026, which include expected lease extensions that are reasonably certain of renewal,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9 months)</w:t>
            </w:r>
          </w:p>
        </w:tc>
        <w:tc>
          <w:tcPr>
            <w:tcW w:w="4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605,427</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827,909</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139,023</w:t>
            </w: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1,572,359</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(167,354)</w:t>
            </w: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1,405,005</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NOTE PAYABLE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2025, the Company purchased director and officer insurance policies with a policy period ending June 2026 and financed $264,048 of its total premium by entering into a note payable with a finance provider that requires ten monthly installment payments through April 2026. The note is secured by a first priority lien on the financed policies. The short-term note bears interest at an annual percentage rate of 6.6% over the life of the note. As of March 31, 2026, and December 31, 2025, the outstanding balance of the note was $27,210 and $107,951 including interest,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18, 2025, the Company entered into a Securities Purchase Agreement (the “Purchase Agreement”) with several institutional and accredited investors for the sale by the Company of 24,223 shares (the “Registered Direct Offering Shares”) of the Company’s common stock, par value $0.01 per share, at a purchase price of $22.50 per share, in a registered direct offering. The offering closed on February 19, 2025. The gross proceeds to the Company from the offering were approximately $545,000, before deducting the placement agent’s fees and other offering expenses. The Registered Direct Offering Shares were offered and sold by the Company pursuant to an effective shelf registration statement on Form S-3 (File No. 333-279123).</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agreed to pay H.C. Wainwright &amp; Co., LLC (“Wainwright”), as placement agent, an aggregate fee equal to 7.0% of the gross proceeds received by the Company from the sale of the securities in the offering as well as a management fee equal to 1.0% of such gross proceeds, and $15,000 for fees and expenses of legal counsel. The Company also issued to Wainwright, or its designees, warrants to purchase up to 7.0% of the aggregate number of shares of the Company’s common stock sold in the transactions, or warrants to purchase up to an aggregate of 1,698 shares of the Company’s common stock (the “Registered Direct Offering Placement Agent Warrants”). The Registered Direct Offering Placement Agent Warrants are exercisable for five years from the commencement of sales in the offering and have an exercise price equal to 125% of the purchase price of shares of the Company’s common stock sold in the offering, or $28.13 per share. The Registered Direct Offering Placement Agent Warrants and the shares issuable upon exercise of the Registered Direct Offering Placement Agent Warrants were issued in reliance on the exemption from registration provided by Section 4(a)(2) of the Securities Act as transactions not involving a public offering and in reliance on similar exemptions under applicable state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Renovaro Subscription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13, 2025, the Company executed a share subscription agreement with Renovaro, pursuant to the Extension Agreement dated February 28, 2025, that amended the previous LOI between the parties. Pursuant to the share subscription agreement, Renovaro subscribed to purchase and the Company sold to Renovaro 31,153 unregistered shares of the Company’s common stock at a price of $16.05 per share for a total purchase price of $500,000. The closing of this share issuance occurred on March 17,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2024, the Company entered into an at-the-market (“ATM”) sales agreement with Wainwright, under which it may issue and sell shares of its common stock, with Wainwright acting as sales agent and receiving a 3.0% commission on gross proceeds. The Company subsequently filed a shelf registration statement and prospectus supplement.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18, 2025, in accordance with the terms of the Sales Agreement, the Company filed a prospectus supplement to the May 2024 Shelf Registration Statement relating to the offer and sale of up to an additional $1,491,000 of shares of the Company’s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 2025, in accordance with the terms of the Sales Agreement, the Company determined to further increase the number of shares it may sell under the Sales Agreement, from the approximately $1,352,000 remaining as of May 31, 2025 up to an aggregate of $3,398,000, and the Company filed an additional prospectus supplement with the SEC on June 2,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2025, in accordance with the terms of the Sales Agreement, the Company determined to further increase the number of shares it may sell under the Sales Agreement, from the approximately $2,292,000 remaining as of September 30, 2025 up to an aggregate of $18,330,000, and the Company filed an additional prospectus supplement with the SEC on October 29,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approximately $18,330,000 remained available to the Company for sales under the Sales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there were no shares of common stock issued or sold under the Sales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 2025, the Company entered into a standby equity purchase agreement (the “SEPA”) with YA II PN, LTD., a Cayman Islands exempt limited company (“Yorkville”). Pursuant to the SEPA, the Company has the right to sell to Yorkville up to $10 million in shares of its common stock, subject to certain limitations and conditions set forth in the SEPA, from time to time during the term of the SEPA. Sales of the shares of common stock to Yorkville under the SEPA, and the timing of any such sales, are at the Company’s option, and the Company is under no obligation to sell any shares of common stock to Yorkville under the SEPA. In connection with the execution of the SEPA, the Company issued 8,033 shares of its common stock to Yorkville as consideration for its commitment to purchase the Company’s common stock pursuant to the SEPA.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the right, but not the obligation, from time to time at its discretion until the first day of the month following the 36-month period after the date of the SEPA, to direct Yorkville to purchase a specified number of shares of the Company’s common stock (each such sale, an “Advance”) by delivering written notice to Yorkville (each, an “Advance Notice”). The per share purchase price for the shares of common stock, if any, that the Company elects to sell to Yorkville in an Advance pursuant to the SEPA will be determined by reference to the volume weighted average price of the Company’s common stock (the “VWAP”) and calculated in accordance with the SEPA, less a discount of 4.0%. The Company filed a registration statement on Form S-1 for the resale of up to 128,114 shares by Yorkville on July 18, 2025, which was declared effective by the SEC on July 28,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19, 2025, the Company received approval from its stockholders to issue shares of its common stock to Yorkville under the SEPA in excess of 19.99% of the number of shares of common stock outstanding as of the date of the SEPA (the “Exchange Cap”). Yorkville is not obligated to purchase or acquire, and shall not purchase or acquire, any shares of common stock under the SEPA which, when aggregated with all other shares of the Company’s common stock then beneficially owned by Yorkville and its affiliates (as calculated pursuant to Section 13(d) of the Exchange Act and Rule 13d-3 promulgated thereunder), would result in the beneficial ownership by Yorkville and its affiliates exceeding 4.99% of the then outstanding voting power or number of shares of the Company’s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sold no shares pursuant to the SEPA.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September 2025 Private Placements and Related Agreements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2025, the Company entered into a securities purchase agreement (the “Crypto SPA”) with certain accredited investors pursuant to which the Company agreed to sell and issue to such investors in a private placement (the “Crypto PIPE Offering”) pre-funded warrants (the “Crypto PIPE Warrants”). Also on September 29, 2025, the Company entered into a securities purchase agreement (the “Cash SPA,” and together with the Crypto SPA, the “September SPAs”), pursuant to which it agreed to sell and issue to certain accredited investors, in exchange for cash (the “Cash PIPE Offering,” and together with the Crypto PIPE Offering, the “PIPE Offerings”), the Company’s common stock and warrants (the “Cash PIPE Warrants”). The PIPE Offerings closed October 7, 2025 (the “Closing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PIPE and Crypto PIPE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Cash PIPE Offering, the Company sold an aggregate of 4,366,703 shares of common stock (or pre-funded warrants at a nominal $0.01 exercise price per share to purchase shares of common stock, in lieu thereof) to certain accredited investors for $11.6265 per share. Aggregate Cash PIPE Offering proceeds were $50.8 million before issuance fees and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Crypto PIPE, the Company issued, to certain accredited investors, Crypto PIPE Warrants to purchase up to 14,903,393 shares of its common stock at a nominal $0.01 exercise price per share. As consideration for the Crypto PIPE Warrants, the Company received ATH from purchasers, including Locked ATH, with an aggregate notional value and discounted value of $292.7 million and $173.3 million,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Crypto SPA was determined to meet the definition of a derivative in accordance with ASC 815. The settlement amount of the derivative was affected by changes in the USD value of ATH contributed by investors between the effective date of the Crypto SPA on September 29, 2025, and the Closing Date. Because the Crypto SPA obligated the Company to issue a fixed number of shares while the settlement value of those shares was indexed to the price of ATH, the Crypto SPA was classified as a derivative liability and the Company recorded a liability as of September 29, 2025, at its then-fair value with the offsetting entry to earnings. The derivative liability was remeasured as of October 7, 2025 immediately prior to settlement, resulting in a $52.7 million loss recognized within earnings and presented on the consolidated statement of net loss for the year ended December 31, 2025 within “Gain (loss) on derivative instruments.” The derivative liability was fully settled when the Crypto PIPE Offering closed on October 7, 2025, on which date the purchasers in the Crypto PIPE Offering tendered ATH to the Company and the Company issued the Crypto PIPE Warrants to purchasers.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1,419,239 pre-funded warrants exercised for the three months ended March 31, 2026, and the total number of pre-funded warrants outstanding was 14,699,856 as of March 31, 2026, all of which were vested and exercisable and have no expiration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Wainwright Engagement Agreement</w:t>
      </w:r>
    </w:p>
    <w:p>
      <w:pPr>
        <w:spacing w:after="0" w:line="2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connection with the PIPE Offerings, on October 7, 2025, the Company issued five-year warrants (the “Placement Agent Warrants”) to Wainwright, which was the exclusive placement agent for the transactions. The Placement Agent Warrants entitle Wainwright or its designees to purchase up to 218,335 shares of the Company’s common stock (the “Placement Agent Warrant Shares”), which number of Placement Agent Warrant Shares is equal to 5% of the shares of common stock and Cash Pre-Funded Warrants issued in the Cash PIPE, at an exercise price of $11.6265 per share. The Placement Agent Warrants had a grant date fair value of approximately $2.5 million, which were accounted for as an incremental offering cost and netted against the proceeds from the Cash PIPE. The Company also paid to Wainwright a cash fee of approximately $2.5 million, or 5% of gross cash proceeds of the PIPE Offerings.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Advisor Agreement and Asset Management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Treasury Strategy, on October 7, 2025, the Company entered into a strategic advisor agreement (the “Strategic Advisor Agreement”) under which it engaged DNA as a strategic advisor to provide financial advisory services related to digital asset strategies and business development initiatives. As compensation for DNA’s services, the Company issued five-year warrants (the “Strategic Advisor Warrants”) to DNA to purchase up to 1,348,906 shares of its common stock at an exercise price of $11.6265 per share. The Company further engaged DNA under a 10-year asset management agreement (the “Asset Management Agreement”), pursuant to which DNA will act as the Company’s asset manager with respect to its digital assets. As compensation for its services under the Asset Management Agreement, DNA is entitled to a 1.00% per annum asset-based management fee, plus an incentive fee equal to 25% of profits earned on managed assets over 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Warrants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transactions for warrants for the period indicated:</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800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80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1,623,179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1,619,507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warrants granted for the three months ended March 31, 2026 and 2025,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the grant date fair value of warrants using a Black-Scholes option valuation model based upon assumptions regarding risk-free interest rate, expected dividend rate, volatility, and estimated term.</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each warrant grant for the three months ended March 31, 2026 and 2025 was estimated on the grant date using the Black-Scholes option valuation model with the following assumptions:</w:t>
      </w:r>
    </w:p>
    <w:p>
      <w:pPr>
        <w:spacing w:after="0" w:line="158"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30, 2024, the Company’s stockholders approved the 2024 Equity Incentive Plan (the “2024 Plan”). The 2024 Plan allows for the issuance of non-statutory stock options and incentive stock options, stock appreciation rights, stock awards, restricted stock, restricted stock units, and performance awards to employees, directors, and consultants of the Company, where permitted under the plan. Due to the approval of the 2024 Plan, no new awards will be granted under the Company’s Amended and Restated 2012 Stock Incentive Plan. The exercise price for each stock option is determined by the market price on the date of issuance. Vesting requirements are determined by the Board of Directors when granted and currently range from immediate to three years. Options outstanding under this plan have a contractual life of ten years.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requires that a company that issues equity as compensation record compensation expense that corresponds to the estimated cost of those equity grants. ASC 718 requires companies to estimate the fair value of stock-based payment awards on the date of grant using an option-pricing model or other acceptable means.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9, 2025, the Board of Directors, upon the recommendation of the Compensation Committee of the Board of Directors (the “Compensation Committee”), determined that it was appropriate to award restricted stock units (“RSUs”) as a form of compensation for employees, consultants and directors and approved a form of Restricted Stock Unit Award Agreement, with such awards to be granted under the Company’s 2024 Plan. Consistent with that determination, the Board of Directors approved the grant of 60,101 RSUs on September 9, 2025. Each RSU represented the right to receive one share of the Company’s common stock upon vesting. The RSUs contained a service-based vesting condition requiring continued service through October 31, 2025, at which point the RSUs vested in full. The RSUs were settled on November 28,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10, 2025, the Company entered into an amendment to the employment agreement with Raymond F. Vennare dated as of November 1, 2022. Pursuant to the amendment and following approval by the Compensation Committee, Mr. Vennare was awarded 20,000 RSUs. The RSUs contained a service-based vesting condition requiring continued service through January 1, 2026, at which point the RSUs vested in full. The RSUs were settled on February 5,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period indicated: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800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80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RSUs as of December 31, 2025</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118,400</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Non-vested RSUs as of March 31, 2026</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unrecognized stock-based compensation expense related to RSUs that is expected to be recognized in a future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the grant date fair value of options and warrants using a Black-Scholes option valuation model based upon assumptions regarding risk-free interest rate, expected dividend rate, volatility, and estimated term. There were 500,000 stock options granted for the three months ended March 31, 2026. There were no stock options granted for the three months ended March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period indicated: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8000" w:type="dxa"/>
            <w:vAlign w:val="bottom"/>
          </w:tcPr>
          <w:p>
            <w:pPr>
              <w:spacing w:after="0"/>
              <w:rPr>
                <w:sz w:val="18"/>
                <w:szCs w:val="18"/>
                <w:color w:val="auto"/>
              </w:rPr>
            </w:pP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38"/>
        </w:trPr>
        <w:tc>
          <w:tcPr>
            <w:tcW w:w="80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1,334.07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12,750.00</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502,921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$1.0 million of unrecognized stock-based compensation expense related to stock options that is expected to be recognized over the next approximately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net of forfeitures, recognized for the three months ended March 31, 2026, was $0.1 million. There was no stock-based compensation expense recognized for the three months ended March 31, 2025. Such expense is included within general and administrative expenses in the condensed consolidated statements of net loss.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NET LOSS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statements of net loss. The Company calculates basic net loss per share based upon the weighted average number of common shares outstanding during the period, while the calculation of diluted earnings per share includes the dilutive effect of potential common shares outstanding during the period. The calculation of diluted earnings per share excludes all potential common shares, with the exception of pre-funded warrants, if their inclusion would have an anti-dilutive effect. A total of 14,699,856 pre-funded warrants is included in the computation of earnings per share because the exercise price of the pre-funded warrants is nominal and there are no conditions that must be satisfied prior to their exercise.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shares used in the basic and diluted loss per common share computations: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0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(7,708,943)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(2,285,416)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(157,457)</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(7,708,943)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(2,442,873)</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21,184,617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476,835</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of stock options, warrants and preferred stock (1)</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21,184,617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476,835</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from continuing operations attributable to common stockholders per common share – basic and</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from discontinued operations attributable to common stockholders per common share – basic and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 - basic and diluted</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bl>
    <w:p>
      <w:pPr>
        <w:spacing w:after="0" w:line="198" w:lineRule="exact"/>
        <w:rPr>
          <w:sz w:val="20"/>
          <w:szCs w:val="20"/>
          <w:color w:val="auto"/>
        </w:rPr>
      </w:pPr>
    </w:p>
    <w:p>
      <w:pPr>
        <w:ind w:left="660" w:right="1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summary of the number of underlying shares outstanding at the end of the respective periods that have been excluded from the diluted calculations because the effect on loss per common share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3660" w:type="dxa"/>
            <w:vAlign w:val="bottom"/>
            <w:tcBorders>
              <w:bottom w:val="single" w:sz="8" w:color="CCEEFF"/>
            </w:tcBorders>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4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502,921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3,101</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5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1,619,507</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88,420</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5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Series B</w:t>
            </w:r>
          </w:p>
        </w:tc>
        <w:tc>
          <w:tcPr>
            <w:tcW w:w="5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414"/>
        </w:trPr>
        <w:tc>
          <w:tcPr>
            <w:tcW w:w="3660" w:type="dxa"/>
            <w:vAlign w:val="bottom"/>
          </w:tcPr>
          <w:p>
            <w:pPr>
              <w:spacing w:after="0"/>
              <w:rPr>
                <w:sz w:val="24"/>
                <w:szCs w:val="24"/>
                <w:color w:val="auto"/>
              </w:rPr>
            </w:pPr>
          </w:p>
        </w:tc>
        <w:tc>
          <w:tcPr>
            <w:tcW w:w="434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23</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366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determined its operating segments 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Factors used to determine the Company’s reportable segments include the availability of separate financial statements, the existence of separate leadership across business lines, the economic factors affecting each segment, and the evaluation of operating results at the segment level. The Company’s Chief Operating Decision Maker (“CODM”), its chief executive officer, allocates the Company’s resources for each of the operating segments and evaluates their relative performance based on losses from operations, operating loss, and net loss. Operating expenses are disaggregated by department for purposes of evaluating each segment’s performance. Each operating segment listed below has separate financial statements and locally based leadership that are evaluated based on the results of their respective segments. It should be noted that the operating segments below have different products and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reportable segments, which have been delineated by business area:</w:t>
      </w:r>
    </w:p>
    <w:p>
      <w:pPr>
        <w:spacing w:after="0" w:line="223" w:lineRule="exact"/>
        <w:rPr>
          <w:sz w:val="20"/>
          <w:szCs w:val="20"/>
          <w:color w:val="auto"/>
        </w:rPr>
      </w:pPr>
    </w:p>
    <w:p>
      <w:pPr>
        <w:ind w:left="660" w:right="800" w:hanging="328"/>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Compute Services and Treasury Management segment: </w:t>
      </w:r>
      <w:r>
        <w:rPr>
          <w:rFonts w:ascii="Times New Roman" w:cs="Times New Roman" w:eastAsia="Times New Roman" w:hAnsi="Times New Roman"/>
          <w:sz w:val="18"/>
          <w:szCs w:val="18"/>
          <w:color w:val="auto"/>
        </w:rPr>
        <w:t>provides services that include access to GPU compute capacity and manages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ATH Treasury Strategy.</w:t>
      </w:r>
    </w:p>
    <w:p>
      <w:pPr>
        <w:spacing w:after="0" w:line="158"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Drug Discovery Services segment</w:t>
      </w:r>
      <w:r>
        <w:rPr>
          <w:rFonts w:ascii="Times New Roman" w:cs="Times New Roman" w:eastAsia="Times New Roman" w:hAnsi="Times New Roman"/>
          <w:sz w:val="18"/>
          <w:szCs w:val="18"/>
          <w:color w:val="auto"/>
        </w:rPr>
        <w:t>: provides services that include the application of AI using its proprietary biobank of 150,000+ tumor samples,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creation of proprietary 3D culture models used in drug development.</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Note 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the Company’s former Eagan operating segment met the criteria to be reported as discontinued operations for the first quarter of 2025. As such, the former Eagan operating segment is excluded from the tables below, which only reflect continuing operations for all periods presented.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discussion of revenue recognition in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a description of the products and services recognized in each segment. All revenues are earned from external customers.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segment reporting as of the three months ended March 31, 2026, and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8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Compute Services and Treasury Management segment</w:t>
            </w: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3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42,715,058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49,455,174</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Drug Discovery Services segment</w:t>
            </w: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1,696,321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1,930,898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121,261</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3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811,197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1,502,274</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7,777</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45,222,576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52,888,346</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129,038</w:t>
            </w: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780" w:type="dxa"/>
            <w:vAlign w:val="bottom"/>
          </w:tcPr>
          <w:p>
            <w:pPr>
              <w:spacing w:after="0"/>
              <w:rPr>
                <w:sz w:val="24"/>
                <w:szCs w:val="24"/>
                <w:color w:val="auto"/>
              </w:rPr>
            </w:pPr>
          </w:p>
        </w:tc>
        <w:tc>
          <w:tcPr>
            <w:tcW w:w="322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4780" w:type="dxa"/>
            <w:vAlign w:val="bottom"/>
            <w:tcBorders>
              <w:bottom w:val="single" w:sz="8" w:color="auto"/>
            </w:tcBorders>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table below provides a reconciliation of segment revenue and loss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40" w:type="dxa"/>
            <w:vAlign w:val="bottom"/>
            <w:tcBorders>
              <w:bottom w:val="single" w:sz="8" w:color="auto"/>
            </w:tcBorders>
          </w:tcPr>
          <w:p>
            <w:pPr>
              <w:spacing w:after="0"/>
              <w:rPr>
                <w:sz w:val="20"/>
                <w:szCs w:val="20"/>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Compute Services and Treasury Management segment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6,935</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and (losses) from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(4,296,268)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operations (a)</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191,649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(4,480,982)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Segment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(4,480,982)</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Drug Discovery Services segment</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28,376</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110,310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Gains and (losses) from operations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operations (a)</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1,006,755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977,733</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(978,379)</w:t>
            </w: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(867,423)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(978,379)</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(867,411)</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and (losses) from operations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operations (a) (b)</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2,269,320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1,419,624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(2,269,320)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(1,419,624)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Segment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(2,249,582)</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(1,418,005)</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35,311</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110,310-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Gains and (losses) from operations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(4,296,268)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operations (a)</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3,467,724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2,397,357</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(7,728,681)</w:t>
            </w: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(2,287,047)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1,631</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Segment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(7,708,943)</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(2,285,416)</w:t>
            </w:r>
          </w:p>
        </w:tc>
      </w:tr>
    </w:tbl>
    <w:p>
      <w:pPr>
        <w:spacing w:after="0" w:line="179" w:lineRule="exact"/>
        <w:rPr>
          <w:sz w:val="20"/>
          <w:szCs w:val="20"/>
          <w:color w:val="auto"/>
        </w:rPr>
      </w:pPr>
    </w:p>
    <w:p>
      <w:pPr>
        <w:ind w:left="660" w:right="3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cost of operations includes cost of revenues, general and administrative expenses, research and development expenses, and sales and marketing expenses.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expenses include general and administrative costs, stock-based compensation, and other items not allocated to the segments.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President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2026, the Board appointed Kyle Okamoto as President and the Company entered into an employment agreement with Mr. Okamoto, which provides for, among other things, an annual base salary equal to $360,000, and at the discretion of the Compensation Committee, grants of stock options or other equity awards. Mr. Okamoto will also be eligible to participate in the Company’s (i) bonus program with annual cash bonus of up to 150% of his salary or a higher percentage based on performance, (ii) long-term incentive plan to be adopted and maintained by the Compensation Committee, and (iii) standard employee benefit plans.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April 1, 2026, as a material inducement to Mr. Okamoto’s appointment as President, the Company granted Mr. Okamoto stock options to purchase 300,000 shares of the Company’s common stock at an exercise price of $1.62, pursuant to a Stock Option Inducement Award Agreement between Mr. Okamoto and the Company. One-third of the options granted to Mr. Okamoto will vest on the first anniversary of April 1, 2026, with the remaining two-thirds of the options vesting in equal monthly installments over the following twenty-four months, in each case subject to Mr. Okamoto’s continued employment with or service to the Company through each applicable vesting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Appointment of Chief Financial Officer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10, 2026, Josh Blacher advised the Company of his intention to resign from his position as Chief Financial Officer of the Company, effective May 18, 2026. Mr. Blacher’s resignation was not due to any disagreement with the Company on any matter relating to the Company’s operations, policies, or practices.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16, 2026, the Board appointed Jeremy Yaukey-Witter to serve as Co-Chief Financial Officer of the Company alongside Mr. Blacher from April 16, 2026 through May 18, 2026, and to serve as the sole Chief Financial Officer of the Company after May 18, 2026. The Company entered into an employment agreement with Mr. Yaukey-Witter, which provides for, among other things, an annual base salary equal to $280,000, and at the discretion of the Compensation Committee, grants of stock options or other equity awards. Mr. Yaukey-Witter will also be eligible to participate in the Company’s (i) bonus program with annual cash bonus of up to 40% of his salary or a higher percentage based performance, (ii) long-term incentive plan to be adopted and maintained by the Compensation Committee, and (iii) standard employee benefit plans.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April 16, 2026, as a material inducement to Mr. Yaukey-Witter’s appointment as Co-Chief Financial Officer, the Company granted Mr. Yaukey-Witter stock options to purchase 225,000 shares of the Company’s common stock at an exercise price of $3.51, pursuant to a Stock Option Inducement Award Agreement between Mr. Yaukey-Witter and the Company. One-third of the options granted to Mr. Yaukey-Witter will vest on the first anniversary of April 16, 2026, with the remaining two-thirds of the options vesting in equal monthly installments over the following twenty-four months, in each case subject to Mr. Yaukey-Witter’s continued employment with or service to the Company through each applicable vesting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Contract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22, 2026, the Company announced its entry into a 36-month enterprise infrastructure contract with an enterprise customer (the “April Agreement”). The April Agreement has an aggregate contract value of approximately $260 million. Under the April Agreement, the Company will deliver a dedicated cluster of 2,304 NVIDIA B300 GPUs and AI-focused high-speed storage infrastructure from a single U.S. Tier 3 data center facility. The cluster is intended to support large-scale AI model training, fine-tuning, and high-throughput inference workloads. The infrastructure will maintain NVIDIA reference architecture throughout the contract period. The initial term of the Agreement is 36 months, with targeted deployment commencing in the third quarter of 2026. The Agreement includes options to renew for additional years beyond the initial term. The payment structure under the April Agreement consists of a deposit, prepayment, and monthly payments made in advance on a take-or-pay basis. The agreement includes enterprise-grade service levels.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unaudited condensed consolidated financial statements and the related notes thereto included elsewhere in this Quarterly Report on Form 10-Q for the quarterly period ended March 31, 2026, and our Form 10-K for the year ended December 31, 2025.</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information in this Quarterly Report on Form 10-Q includes forward-looking statements within the meaning of Section 27A of the Securities Act of 1933, as amended ("Securities Act") and Section 21E of the Securities Exchange Act of 1934, as amended ("Exchange Act"). All statements, other than statements of historical facts, including statements concerning our plans, objectives, goals, beliefs, business strategies, future events, business conditions, our results of operations, financial position and our business outlook, business trends and other information, may be forward-looking statements. You can identify these forward-looking statements by the words "believes," "intends," "expects," “might,” "may," "will," "should," "plans," "projects," "contemplates," "intends," "budgets," “potential,” "predicts," "estimates," "anticipates," “future,” “goal,” and variations of such words or similar expressions. These statements are based on our beliefs, as well as assumptions we have used based upon information currently available to us. Because these statements reflect our current views concerning future events, these statements involve risks, uncertainties, and assumptions, many of which, by their nature, are inherently uncertain and beyond our control. Our expectations, beliefs, estimates and projections are expressed in good faith and we believe there is a reasonable basis for them. However, there can be no assurance that management’s expectations, beliefs, estimates and projections will result or be achieved, and actual future results may differ materially from what is expressed in or indicated by the forward-looking statements. Factors that might cause such differences include, but are not limited to, those discussed in Part I, Item 1A, under the heading “Risk Factors,” in our Annual Report on Form 10-K for the year ended December 31, 2025 filed with the Securities and Exchange Commission (“SEC”) on March 31, 2026, and under “Part II, Item 1A., Risk Factors” in this Quarterly Report on Form 10-Q, if and as such risk factors may be updated from time to time in our periodic filings with the SEC. We may not actually achieve the plans, intentions or expectations disclosed in our forward-looking statements, and a reader, whether investing in our common stock or not, should not place undue reliance on these forward-looking statements. Our forward-looking statements do not reflect the potential impact of any future acquisitions, mergers, dispositions, joint ventures or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Axe Compute Inc. provides customers with access to GPU compute capacity for AI and other high-performance computing workloads through a distributed network model, including infrastructure made available through the Aethir network. We operate a digital asset treasury (the “Treasury Strategy”) focused on ATH, the native utility token of the Aethir network. Collectively, these activities are referred to as the Compute Services and Treasury Management operating segment within our condensed consolidated financial statements included in this Quarterly Report on Form 10-Q. We have operated this segment since late 2025 when it undertook a significant strategic shift by adopting the Treasury Strategy and began expanding our business strategy to include the GPU compute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our legacy oncology drug discovery solutions business, which was previously conducted under the Predictive Oncology Inc. name. Current operations in this business are limited, and the Company is exploring strategic alternatives, including a potential sale or other disposition, although no definitive plan has been approved. Historically, this business applied AI to support the discovery and development of cancer therapies, with the objective of improving treatment effectiveness and patient outcomes. The business leveraged AI capabilities to provide actionable insights about drug compounds to improve the drug discovery process and increase the probability of drug compound success. In February 2026, the Company announced that it is exploring strategic alternatives for this oncology drug discovery solutions business, but the Company’s Board of Directors has not committed to a specific course of action. Accordingly, the oncology drug discovery solutions business did not meet the criteria under Financial Accounting Standards Board (the “FASB”) Accounting Standards Codification (“ASC”) 205-20, Discontinued Operations to be classified as discontinued operations and held for sale, and therefore is reflected as continuing operations within the condensed consolidated financial statements included in this Quarterly Report on Form 10-Q.</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Aethir Treasury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2025, the Company announced the launch of its Treasury Strategy focused on ATH. Aethir is a leading decentralized physical infrastructure network developed by DCI, that provides a decentralized GPU network, connecting producers and consumers of GPU compute power at enterprise scale, supporting applications such as artificial intelligence computation, gaming and cloud workloads. ATH functions as a proxy for a unit of GPU compute power and serves as a medium of exchange and unit of incentives for participants in the Aethir network. Participants in the Aethir network can generate yield or other rewards by staking or lending ATH or by otherwise serving as a source of ATH liquidity.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Treasury Strategy, the Company intends to continue acquiring additional ATH in the open market and to earn yield on its ATH treasury holdings by engaging in ATH staking and other activities. As a holder of ATH, the Company accrues unrealized gains or losses from any appreciation or depreciation, as applicable, in the value of ATH tokens, which trade on various cryptocurrency exchanges.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is focusing its resources on the Treasury Strategy, and a significant portion of the Company’s balance sheet will be allocated to holding ATH pursuant to its Treasury Strategy.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Treasury Strategy is primarily dedicated to ATH, and the Company does not intend to allocate treasury assets to other digital assets in the near term. As a result, the Company’s assets will be highly concentrated in a single digital asset. Adverse developments specific to ATH, its protocol, or its network could have a disproportionate impact on the Company’s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Treasury Strategy is intended to bring value to its stockholders through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proceeds from equity and debt financing to purchase and hold ATH;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staking the majority of the ATH in our treasury to earn a staking yield and turn the treasury into a productive asset;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locked ATH at a discount to the current spot price; and</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our ATH holdings, whether on the open market, through block trades, or other negotiated transactions, for various reasons and at various times, including, in order to fund our working capital and general corporate needs.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arrangements with customers as a GPU compute services provider where the Company procures GPU compute capacity and resells that capacity to downstream customers.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There can be no assurance that the value of ATH will increase, and investors should carefully consider the risks associated with digital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6, 2026, our Board voted to terminate, without cause, the employment of Raymond F. Vennare as Chief Executive Officer, effective February 9, 2026. Mr. Vennare also resigned as Chairman and a member of the Board effective the same date. In connection with his termination, Mr. Vennare entered into a separation agreement providing for severance and other benefits. The Board appointed Chuck Nuzum, an existing member of the Board, as Chairman effective February 9, 2026. In addition, the Board appointed Christopher Miglino as Chief Executive Officer and as a member of the Board effective February 9, 2026. In connection with his appointment, we entered into an employment agreement with Mr. Miglino and granted him stock options to purchase 500,000 shares of our common stock as an inducement award.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2026, we announced that we engaged Cardiff Advisory LLC to assist in exploring strategic alternatives for our Legacy Business. The strategic review process, which is being conducted under the oversight of our Board, may include a potential sale, partnership, licensing arrangement, joint venture or other transaction involving the Company’s biobank platform and related operations. The review reflects our continued focus on advancing our artificial intelligence compute infrastructure strategy while evaluating opportunities to maximize value from non-core legacy assets. There can be no assurance that the strategic review process will result in any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 2026, we announced that our Board appointed Dr. Theodore Zhu and Thorsten Dirks as members of the Board.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2026, the Board appointed Kyle Okamoto as President and the Company entered into an employment agreement with Mr. Okamoto, which provides for, among other things, an annual base salary equal to $360,000, and at the discretion of the Compensation Committee, grants of stock options or other equity awards. Mr. Okamoto will also be eligible to participate in the Company’s (i) bonus program with annual cash bonus of up to 150% of his salary or a higher percentage based on performance, (ii) long-term incentive plan to be adopted and maintained by the Compensation Committee, and (iii) standard employee benefit plans.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April 1, 2026, as a material inducement to Mr. Okamoto’s appointment as President, the Company granted Mr. Okamoto stock options to purchase 300,000 shares of the Company’s common stock at an exercise price of $1.62, pursuant to a Stock Option Inducement Award Agreement between Mr. Okamoto and the Company. One-third of the options granted to Mr. Okamoto will vest on the first anniversary of April 1, 2026, with the remaining two-thirds of the options vesting in equal monthly installments over the following twenty-four months, in each case subject to Mr. Okamoto’s continued employment with or service to the Company through each applicable vesting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On April 10, 2026, Josh Blacher advised the Company of his intention to resign from his position as Chief Financial Officer of the Company, effective May 18, 2026. Mr. Blacher’s resignation was not due to any disagreement with the Company on any matter relating to the Company’s operations, policies, or practices.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16, 2026, the Board appointed Jeremy Yaukey-Witter to serve as Co-Chief Financial Officer of the Company alongside Mr. Blacher from April 16, 2026 through May 18, 2026, and to serve as the sole Chief Financial Officer of the Company after May 18, 2026. The Company entered into an employment agreement with Mr. Yaukey-Witter, which provides for, among other things, an annual base salary equal to $280,000, and at the discretion of the Compensation Committee, grants of stock options or other equity awards. Mr. Yaukey-Witter will also be eligible to participate in the Company’s (i) bonus program with annual cash bonus of up to 40% of his salary or a higher percentage based performance, (ii) long-term incentive plan to be adopted and maintained by the Compensation Committee, and (iii) standard employee benefit plans.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on April 16, 2026, as a material inducement to Mr. Yaukey-Witter’s appointment as Co-Chief Financial Officer, the Company granted Mr. Yaukey-Witter stock options to purchase 225,000 shares of the Company’s common stock at an exercise price of $3.51, pursuant to a Stock Option Inducement Award Agreement between Mr. Yaukey-Witter and the Company. One-third of the options granted to Mr. Yaukey-Witter will vest on the first anniversary of April 16, 2026, with the remaining two-thirds of the options vesting in equal monthly installments over the following twenty-four months, in each case subject to Mr. Yaukey-Witter’s continued employment with or service to the Company through each applicable vesting date.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22, 2026, the Company announced its entry into a 36-month enterprise infrastructure contract with an enterprise customer (the “April Agreement”). The April Agreement has an aggregate contract value of approximately $260 million. Under the April Agreement, the Company will deliver a dedicated cluster of 2,304 NVIDIA B300 GPUs and AI-focused high-speed storage infrastructure from a single U.S. Tier 3 data center facility. The cluster is intended to support large-scale AI model training, fine-tuning, and high-throughput inference workloads. The infrastructure will maintain NVIDIA reference architecture throughout the contract period. The initial term of the Agreement is 36 months, with targeted deployment commencing in the third quarter of 2026. The Agreement includes options to renew for additional years beyond the initial term. The payment structure under the April Agreement consists of a deposit, prepayment, and monthly payments made in advance on a take-or-pay basis. The agreement includes enterprise-grade service levels.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Capital Requirements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recurring losses and has not generated sufficient revenues to fund its operations. Historically, the Company has financed its activities through a combination of debt and equity financings. Since 2023, the Company has monetized certain assets and reduced operating expenses. In September 2025, the Company adopted its Treasury Strategy, which introduced both new sources of capital and additional capital requirements. See “Liquidity and Capital Resources—Liquidity and Plan of Financing” and “Liquidity and Capital Resources—Financing Transactions”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approximately $6.9 million in cash and cash equivalents. Additionally, the Company also holds significant ATH digital assets, which may serve as an additional source of liquidity. However, the market price of ATH has exhibited significant volatility over recent periods and remains subject to rapid fluctuations driven by factors such as market sentiment, regulatory developments, network adoption, governance decisions of the Aethir Foundation, and broader crypto-asset market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sources of liquidity include the Company’s at-the-market (“ATM”) facility, under which approximately $18.3 million remained available as of the prospectus supplement filed with the SEC on October 29, 2025, as well as a standby equity purchase agreement (“SEPA”) that allows the Company to sell up to $10.0 million of its common stock, in each case subject to the terms, conditions, and limitations of the respective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future cash requirements and the adequacy of its available resources will depend on its ability to generate revenue from its compute services and Treasury Strategy, as well as its ability to access additional financing. Management expects operating losses to continue in the near term as the Company scales these initiatives. Given the Company’s recent strategic shift, its future operating results are inherently uncertain, and period-to-period comparisons may not be indicative of future 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Comparison of the three months ended March 31, 2026 and 2025</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55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Difference</w:t>
            </w: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110,310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(74,999)</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digital assets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(4,296,268)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(4,296,268)</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(42,262)</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2,909,036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1,828,200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1,080,836</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547,445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520,406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27,039</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4,754</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gain (loss)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(7,728,681)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(2,287,047)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(5,441,634)</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18,107</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(7,708,943)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(2,285,416)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(5,423,527)</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157,457</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(7,708,943)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(2,442,873)</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(5,266,070)</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recorded revenue of $35,311 and $110,310 in the three months ended March 31, 2026 and 2025, respectively. Revenue in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2026, decreased from the prior year due to a reduced amount of revenue generating activities within the Drug Discovery Services segment.</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Gains (losses) on digital assets. </w:t>
      </w:r>
      <w:r>
        <w:rPr>
          <w:rFonts w:ascii="Times New Roman" w:cs="Times New Roman" w:eastAsia="Times New Roman" w:hAnsi="Times New Roman"/>
          <w:sz w:val="18"/>
          <w:szCs w:val="18"/>
          <w:color w:val="auto"/>
        </w:rPr>
        <w:t>We recorded a loss on digital assets of $4,296,268 in the three months ended in March 31, 2026, with no such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the comparative period. The losses in the 2026 period primarily represents the change in fair value of the Company’s ATH holdings, which were not present in the comparative period.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Cost of revenues was $2,856 and $45,118 in the three months ended March 31, 2026 and 2025, respectively. Similarly to revenue,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decreased due to a reduced amount of activity within the Drug Discovery Services segment.</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(“G&amp;A”) expenses primarily consist of management salaries, professional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fees, administrative fees, and general office expenses. G&amp;A expenses increased by $1,080,836 to $2,909,036 in the three months ending March 31, 2026, compared to $1,828,200 in the comparable period in 2025. The increase was primarily due to the severance expense to the prior CEO and an increase in payroll expenses due to salary increases for existing employees and stock based compensation expense in the three months ending March 31, 2026.</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primarily consist of expenses related to product development, prototyping,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Research and development expenses increased by $27,039 to $547,445 in the three months ended March 31, 2026, compared to $520,406 in the comparable period in 2025. The increase was primarily due to increases in cloud computing costs and other lab supplies.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of expenses required to market and sell our products and services.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increased by $4,754 to $8,387 in the three months ended March 31, 2026, compared to $3,633 in the comparable period in 2025. Sales and marketing expenses were relatively stable year over year.</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We recognized other income of $20,628 during the three months ended March 31, 2026, compared to $3,428 in the comparable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Other income increased due to dividend payments received.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2026, we had $6,925,244 in cash and cash equivalents. Cash and cash equivalents from continuing operations decreased by $3,865,606 from December 31, 2025, due to the following factors.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of continuing operations was $3,746,423 in the three months ended March 31, 2026, compared to $985,840 in the three months ended March 31, 2025. Cash used in operating activities of continuing operations increased due to increased cash used in working capital and increased cash operating expenses. Cash used in working capital reflected payments of accounts payable and accrued expenses outstanding at the start of the period. Increased cash operating expenses primarily reflected cash payments for additional professional services resulting from the Company’s adoption of the Treasury Strategy such as asset management and accounting advisory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$21,000 in investing activities of continuing operations in the three months ended March 31, 2026, to acquire property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cash was used in investing activities of continuing operations in the three months ended March 31,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continuing operations was $98,183 in the three months ended March 31, 2026, compared to $2,499,687 provided by financing activities of continuing operations in three months ended March 31, 2025. Cash provided by financing activities of continuing operations in the 2025 period was primarily related to proceeds from the issuance of common stock and warrants.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discontinued operations was $0 in the three months ended March 31, 2026, compared to $854,494 provided by discontinued operations in the three months ended March 31, 2025. Net cash provided by operating activities and investing activities of discontinued operations was $229,494 and $625,000, respectively. for the three months ended March 31, 2025. The cash provided in the 2025 period related to proceeds from the sale of Eagan assets pursuant to the asset purchase agreement executed with DeRoyal in March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Plan of Financing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is a measure of our ability to access sufficient cash flows to meet the short-term and long-term cash requirements of our business operations. We have incurred significant and recurring losses from operations for the past several years. As of March 31, 2026, and December 31, 2025, we had cash and cash equivalents of $6,925,244 and $10,790,850, respectively, and working capital of $33,365,078 and $38,503,051, respectively, and accumulated deficit of $421,230,417 and $413,521,474,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meet its short-term liquidity needs in the next twelve months, which are primarily comprised of working capital requirements, the Company has access to various sources of short-term liquidity including cash and cash equivalents and ATH tokens in its treasury. These include approximately 3.2 billion ATH tokens held as of March 31, 2026, and an additional 1.6 billion ATH tokens expected to vest over the subsequent twelve-month period. Although we do not anticipate needing to use our ATH to meet our short-term liquidity needs, to the extent necessary, we may seek to use proceeds from the sale of our ATH to meet such needs. Additional sources of liquidity could include the Company’s ATM facility and the SEPA facility, subject to certain limitations and conditions associated with the respective facilities.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considers the ATM facility to be a viable source of incremental liquidity during fiscal year 2026, subject to market conditions. Management does not assume immediate or full utilization of the ATM facility in its base-case liquidity forecast. Rather, ATM proceeds are considered a discretionary funding source that could be accessed opportunistically during periods of sufficient market liquidity and pricing stability. Based on current market conditions, management believes that any ATM issuances, if undertaken, would likely have potential to occur in fiscal year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the next twelve months, our long-term liquidity needs are primarily for obligations related to working capital requirements. Our ability to meet these needs and the adequacy of available funds depend on our ability to generate income from our compute services and Treasury Strategy, and the availability of future financing to fulfill our business plans. The Company will also have access to an additional 1.5 billion ATH tokens expected to be vested beyond twelve months from March 31,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notes that a significant portion of the Company’s liquidity is held in ATH, a digital asset, which has exhibited substantial price volatility over recent trailing 3-, 6-, and 9-month periods. The Company acknowledges that ATH prices are subject to rapid fluctuations due to factors including market sentiment, regulatory developments, network adoption, governance decisions of the Aethir Foundation, and broader crypto-asset market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considered downside price scenarios in which the market price of ATH declines materially over the 12-month period following the balance sheet date. Under these scenarios, the U.S. dollar value of the Company’s ATH holdings available for liquidity purposes would be reduced, which has the potential to pressure the Company’s ability to fund operating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has incorporated these possible scenarios when determining the Company’s liquidity, however, management believes the Company has access to sufficient alternative liquidity sources, as noted above, to weather adverse ATH market price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primarily funded our operations through a combination of debt and equity instruments including short-term borrowings, and a variety of debt and equity offerings. We have no off-balance sheet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18, 2025, we entered into a Securities Purchase Agreement (the “Purchase Agreement”) with several institutional and accredited investors for the sale by us of 24,223 shares (the “Registered Direct Offering Shares”) of our common stock, par value $0.01 per share, at a purchase price of $22.50 per share, in a registered direct offering. The offering closed on February 19, 2025. Our gross proceeds from the offering were approximately $545,000, before deducting the placement agent’s fees and other offering expenses. We offered and sold the Registered Direct Offering Shares pursuant to an effective shelf registration statement on Form S-3, which was filed with the SEC on May 21, 2024, and subsequently declared effective on May 21, 2024 (File No. 333-279123), and a related prospectus supplement filed on February 19,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agreed to pay Wainwright, as placement agent, an aggregate fee equal to 7.0% of the gross proceeds we received from the sale of the securities in the offering as well as a management fee equal to 1.0% of such gross proceeds, and $15,000 for fees and expenses of legal counsel. We also issued to Wainwright, or its designees, warrants to purchase up to 7.0% of the aggregate number of shares of our common stock sold in the transactions, or warrants to purchase up to an aggregate of 1,698 shares of our common stock (the “Registered Direct Offering Placement Agent Warrants”). The Registered Direct Offering Placement Agent Warrants are exercisable for five years from the commencement of sales in the offering and have an exercise price equal to 125% of the purchase price of shares of our common stock sold in the offering, or $28.13 per share. The Registered Direct Offering Placement Agent Warrants and the shares issuable upon exercise of the Registered Direct Offering Placement Agent Warrants were issued in reliance on the exemption from registration provided by Section 4(a)(2) of the Securities Act as transactions not involving a public offering and in reliance on similar exemptions under applicable state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Renovaro Subscription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13, 2025, we executed a share subscription agreement with Renovaro, pursuant to the Extension Agreement dated February 28, 2025, that amended the previous LOI between the parties. Pursuant to the share subscription agreement, Renovaro subscribed to purchase and we agreed to sell 31,153 unregistered shares of our common stock at a price of $16.05 per share for a total purchase price of $500,000. The closing of this share issuance occurred on March 17,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 2024, we entered into an ATM Sales Agreement (the “Sales Agreement”) with Wainwright, pursuant to which we may offer and sell, from time to time, through Wainwright, shares of our common stock through an “at the market offering” program pursuant to which Wainwright will act as sales agent. Subject to the terms and conditions of the Sales Agreement, Wainwright is permitted to sell the shares by methods deemed to be an “at the market offering” as defined in Rule 415(a)(4) promulgated under the Securities Act of 1933, as amended. The Sales Agreement provides that Wainwright will be entitled to compensation for its services of 3.0% of the gross sales price of all shares sold through Wainwright under the Sales Agreement. We are subject to certain restrictions on our ability to offer and sell shares of our common stock under the Sales Agreement.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6, 2024, following execution of the Sales Agreement, we filed with the SEC a shelf registration statement on Form S-3 (the “May 2024 Shelf Registration Statement”). The May 2024 Shelf Registration Statement, as amended, was declared effective by the SEC on May 21, 2024 and included a prospectus supplement (the “Initial ATM Prospectus Supplement”) to the base prospectus related to the offering of up to $3,696,000 of shares of our common stock under the Sales Agreement. As of May 31, 2024, we had offered and sold 107,140 shares of common stock under the Initial ATM Prospectus Supplement for gross proceeds of approximately $3,696,000. The net proceeds from the shares offered and sold in May 2024, after deducting commissions and offering expenses, were approximately $3,122,000.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18, 2025, in accordance with the terms of the Sales Agreement, we filed a prospectus supplement to the May 2024 Shelf Registration Statement relating to the offer and sale of up to an additional $1,491,000 of shares of our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 2025, in accordance with the terms of the Sales Agreement, we determined to further increase the number of shares it may sell under the Sales Agreement, from the approximately $1,352,000 remaining as of May 31, 2025 up to an aggregate of $3,398,000, and we filed an additional prospectus supplement with the SEC on June 2,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29, 2025, in accordance with the terms of the Sales Agreement, we determined to further increase the number of shares we may sell under the Sales Agreement, from the approximately $2,292,000 remaining as of September 30, 2025 up to an aggregate of $18,330,000, and we filed an additional prospectus supplement with the SEC on October 29,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approximately $18,330,000 remained available to us for sales of our common stock under the Sales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issued and sold 139,680 shares of common stock under the Sales Agreement resulting in net proceeds to the Company of approximately $1,530,000 after deducting approximately $342,000 in issuance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there were no shares of common stock issued or sold under the Sales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 2025, the Company entered into a standby equity purchase agreement (the “SEPA”) with YA II PN, LTD., a Cayman Islands exempt limited company (“Yorkville”). Pursuant to the SEPA, the Company has the right to sell to Yorkville up to $10 million in shares of its common stock, subject to certain limitations and conditions set forth in the SEPA, from time to time during the term of the SEPA. Sales of the shares of common stock to Yorkville under the SEPA, and the timing of any such sales, are at the Company’s option, and the Company is under no obligation to sell any shares of common stock to Yorkville under the SEPA. In connection with the execution of the SEPA, the Company issued 8,033 shares of its common stock to Yorkville as consideration for its commitment to purchase the Company’s common stock pursuant to the SEPA.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the right, but not the obligation, from time to time at its discretion until the first day of the month following the 36-month period after the date of the SEPA, to direct Yorkville to purchase a specified number of shares of the Company’s common stock (each such sale, an “Advance”) by delivering written notice to Yorkville (each, an “Advance Notice”). The per share purchase price for the shares of common stock, if any, that the Company elects to sell to Yorkville in an Advance pursuant to the SEPA will be determined by reference to the volume weighted average price of the Company’s common stock (the “VWAP”) and calculated in accordance with the SEPA, less a discount of 4.0%. The Company filed a registration statement on Form S-1 for the resale of up to 128,114 shares by Yorkville on July 18, 2025, which was declared effective by the SEC on July 28,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19, 2025, the Company received approval from its stockholders to issue shares of its common stock to Yorkville under the SEPA in excess of 19.99% of the number of shares of common stock outstanding as of the date of the SEPA (the “Exchange Cap”). Yorkville is not obligated to purchase or acquire, and shall not purchase or acquire, any shares of common stock under the SEPA which, when aggregated with all other shares of the Company’s common stock then beneficially owned by Yorkville and its affiliates (as calculated pursuant to Section 13(d) of the Exchange Act and Rule 13d-3 promulgated thereunder), would result in the beneficial ownership by Yorkville and its affiliates exceeding 4.99% of the then outstanding voting power or number of shares of the Company’s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sold no shares pursuant to the SEPA.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2025 Private Placements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29, 2025, we entered into two securities purchase agreements, as further described above under “Recent Developments – September 2025 Private Placements.”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Cash PIPE Offering, we sold an aggregate of 4,366,703 shares of our common stock (or pre-funded warrants at a nominal $0.01 exercise price per share to purchase shares of common stock, in lieu thereof) to certain accredited investors for $11.6265 per share. Aggregate Cash PIPE Offering proceeds were $50.8 million before issuance fees and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Crypto PIPE, we sold the Crypto PIPE Warrants to purchase up to 14,903,393 shares of our common stock at a nominal $0.01 exercise price per share. As consideration for the Crypto PIPE Warrants, we received ATH from purchasers, including Locked ATH, with an aggregate notional value and discounted value of $292.7 million and $173.3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“Recent Accounting Pronouncements” and “Recently Adopted Accounting Standards” under </w:t>
      </w:r>
      <w:r>
        <w:rPr>
          <w:rFonts w:ascii="Times New Roman" w:cs="Times New Roman" w:eastAsia="Times New Roman" w:hAnsi="Times New Roman"/>
          <w:sz w:val="18"/>
          <w:szCs w:val="18"/>
          <w:i w:val="1"/>
          <w:iCs w:val="1"/>
          <w:color w:val="auto"/>
        </w:rPr>
        <w:t>Note 2 - Summary of Significant Accounting Policies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unaudited condensed financial statements of this Quarterly Report on Form 10-Q </w:t>
      </w:r>
      <w:r>
        <w:rPr>
          <w:rFonts w:ascii="Times New Roman" w:cs="Times New Roman" w:eastAsia="Times New Roman" w:hAnsi="Times New Roman"/>
          <w:sz w:val="18"/>
          <w:szCs w:val="18"/>
          <w:color w:val="auto"/>
        </w:rPr>
        <w:t>for further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 13a-15(e) under the Securities Exchange Act of 1934, as amended (the Exchange Act), defines the term “disclosure controls and procedures” as those controls and procedures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of March 31, 2026. Based on that evaluation, our Chief Executive Officer and Chief Financial Officer concluded that our disclosure controls and procedures (as defined in Rules 13a-15(e) and 15d-15(e) under the Exchange Act) were effective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2026, the Company implemented new processes, controls, and procedures related to its digital asset and compute operations. These changes included enhancements to the Company’s policies, people, technologies, and operational processes designed to address the risks associated with digital asset activities as well as preventative and mitigating controls over the acquisition, custody, safeguarding, valuation, and financial reporting of digital assets.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the Company continues to expand its digital asset and compute operations, management continues to enhance and refine certain processes and controls related to wallet management, custody arrangements, valuation methodologies, and related financial reporting activities in order to support the Company’s evolving operations and reporting requirements. Other than the changes described herein, there were no changes in the Company’s internal control over financial reporting (as defined in Exchange Act Rule 13a-15(f)) during the quarter ended March 31, 2026, that have materially affected, or are reasonably likely to materially affect, the Company’s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attention and resources and other factors.</w:t>
      </w:r>
    </w:p>
    <w:p>
      <w:pPr>
        <w:spacing w:after="0" w:line="1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in </w:t>
      </w:r>
      <w:r>
        <w:rPr>
          <w:rFonts w:ascii="Times New Roman" w:cs="Times New Roman" w:eastAsia="Times New Roman" w:hAnsi="Times New Roman"/>
          <w:sz w:val="18"/>
          <w:szCs w:val="18"/>
          <w:i w:val="1"/>
          <w:iCs w:val="1"/>
          <w:color w:val="auto"/>
        </w:rPr>
        <w:t>Note 8, Contingencies</w:t>
      </w:r>
      <w:r>
        <w:rPr>
          <w:rFonts w:ascii="Times New Roman" w:cs="Times New Roman" w:eastAsia="Times New Roman" w:hAnsi="Times New Roman"/>
          <w:sz w:val="18"/>
          <w:szCs w:val="18"/>
          <w:color w:val="auto"/>
        </w:rPr>
        <w:t>, to the unaudited condensed consolidated financial statements of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Quarterly Report on Form 10-Q, there have been no material changes to our risk factors from those disclosed under “Risk Factors” in Part I, Item 1A of our Annual Report on Form 10-K for the year ended December 31, 2025, filed with the SEC on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there were no unregistered sales of securities that were not reported on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0"/>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7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420" w:type="dxa"/>
            <w:vAlign w:val="bottom"/>
            <w:gridSpan w:val="2"/>
          </w:tcPr>
          <w:p>
            <w:pPr>
              <w:spacing w:after="0" w:line="194"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20" w:type="dxa"/>
            <w:vAlign w:val="bottom"/>
            <w:gridSpan w:val="7"/>
          </w:tcPr>
          <w:p>
            <w:pPr>
              <w:spacing w:after="0" w:line="194"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Separation Agreement, dated February 9, 2026, by and between the Company and Raymond Vennare (Filed on February 9, 2026 as</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Exhibit 10.1 to our Current Report on Form 8-K and incorporated herein by reference.)</w:t>
              </w:r>
            </w:hyperlink>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20" w:type="dxa"/>
            <w:vAlign w:val="bottom"/>
            <w:gridSpan w:val="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Employment Agreement, dated February 9, 2026, by and between the Company and Christopher Miglino (Filed on February 9, 2026 as</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Exhibit 10.2 to our Current Report on Form 8-K and incorporated herein by reference.)</w:t>
              </w:r>
            </w:hyperlink>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20" w:type="dxa"/>
            <w:vAlign w:val="bottom"/>
            <w:gridSpan w:val="7"/>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of Stock Option Inducement Award Agreement (Filed on February 9, 2026 as Exhibit 10.3 to our Current Report on Form 8-K</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and incorporated herein by reference.)</w:t>
              </w:r>
            </w:hyperlink>
          </w:p>
        </w:tc>
        <w:tc>
          <w:tcPr>
            <w:tcW w:w="20" w:type="dxa"/>
            <w:vAlign w:val="bottom"/>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4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 2002.</w:t>
            </w:r>
          </w:p>
        </w:tc>
      </w:tr>
      <w:tr>
        <w:trPr>
          <w:trHeight w:val="196"/>
        </w:trPr>
        <w:tc>
          <w:tcPr>
            <w:tcW w:w="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31.</w:t>
            </w:r>
            <w:r>
              <w:rPr>
                <w:rFonts w:ascii="Times New Roman" w:cs="Times New Roman" w:eastAsia="Times New Roman" w:hAnsi="Times New Roman"/>
                <w:sz w:val="18"/>
                <w:szCs w:val="18"/>
                <w:u w:val="single" w:color="auto"/>
                <w:color w:val="0000EE"/>
                <w:w w:val="98"/>
              </w:rPr>
              <w:t>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2360" w:type="dxa"/>
            <w:vAlign w:val="bottom"/>
            <w:gridSpan w:val="3"/>
          </w:tcPr>
          <w:p>
            <w:pPr>
              <w:spacing w:after="0"/>
              <w:rPr>
                <w:sz w:val="17"/>
                <w:szCs w:val="17"/>
                <w:color w:val="auto"/>
              </w:rPr>
            </w:pPr>
          </w:p>
        </w:tc>
      </w:tr>
      <w:tr>
        <w:trPr>
          <w:trHeight w:val="196"/>
        </w:trPr>
        <w:tc>
          <w:tcPr>
            <w:tcW w:w="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32.</w:t>
            </w:r>
            <w:r>
              <w:rPr>
                <w:rFonts w:ascii="Times New Roman" w:cs="Times New Roman" w:eastAsia="Times New Roman" w:hAnsi="Times New Roman"/>
                <w:sz w:val="18"/>
                <w:szCs w:val="18"/>
                <w:u w:val="single" w:color="auto"/>
                <w:color w:val="0000EE"/>
                <w:w w:val="96"/>
              </w:rPr>
              <w:t>1**</w:t>
            </w:r>
          </w:p>
        </w:tc>
        <w:tc>
          <w:tcPr>
            <w:tcW w:w="920" w:type="dxa"/>
            <w:vAlign w:val="bottom"/>
          </w:tcPr>
          <w:p>
            <w:pPr>
              <w:spacing w:after="0"/>
              <w:rPr>
                <w:sz w:val="17"/>
                <w:szCs w:val="17"/>
                <w:color w:val="auto"/>
              </w:rPr>
            </w:pPr>
          </w:p>
        </w:tc>
        <w:tc>
          <w:tcPr>
            <w:tcW w:w="9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and Principal Financial Officer pursuant to Section 906 of the Sarbanes-Oxley Act of 2002.</w:t>
            </w:r>
          </w:p>
        </w:tc>
      </w:tr>
      <w:tr>
        <w:trPr>
          <w:trHeight w:val="20"/>
        </w:trPr>
        <w:tc>
          <w:tcPr>
            <w:tcW w:w="50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74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8"/>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3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AXE COMPUTE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Miglino</w:t>
            </w:r>
          </w:p>
        </w:tc>
      </w:tr>
      <w:tr>
        <w:trPr>
          <w:trHeight w:val="191"/>
        </w:trPr>
        <w:tc>
          <w:tcPr>
            <w:tcW w:w="3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Miglino</w:t>
            </w:r>
          </w:p>
        </w:tc>
      </w:tr>
      <w:tr>
        <w:trPr>
          <w:trHeight w:val="234"/>
        </w:trPr>
        <w:tc>
          <w:tcPr>
            <w:tcW w:w="3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30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 Blacher</w:t>
            </w:r>
          </w:p>
        </w:tc>
      </w:tr>
      <w:tr>
        <w:trPr>
          <w:trHeight w:val="191"/>
        </w:trPr>
        <w:tc>
          <w:tcPr>
            <w:tcW w:w="3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 Blacher</w:t>
            </w:r>
          </w:p>
        </w:tc>
      </w:tr>
      <w:tr>
        <w:trPr>
          <w:trHeight w:val="234"/>
        </w:trPr>
        <w:tc>
          <w:tcPr>
            <w:tcW w:w="3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57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Miglino, certify that:</w:t>
      </w:r>
    </w:p>
    <w:p>
      <w:pPr>
        <w:spacing w:after="0" w:line="225" w:lineRule="exact"/>
        <w:rPr>
          <w:sz w:val="20"/>
          <w:szCs w:val="20"/>
          <w:color w:val="auto"/>
        </w:rPr>
      </w:pPr>
    </w:p>
    <w:p>
      <w:pPr>
        <w:ind w:left="680" w:hanging="672"/>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Axe Compute Inc.;</w:t>
      </w:r>
    </w:p>
    <w:p>
      <w:pPr>
        <w:spacing w:after="0" w:line="225" w:lineRule="exact"/>
        <w:rPr>
          <w:rFonts w:ascii="Times New Roman" w:cs="Times New Roman" w:eastAsia="Times New Roman" w:hAnsi="Times New Roman"/>
          <w:sz w:val="18"/>
          <w:szCs w:val="18"/>
          <w:color w:val="auto"/>
        </w:rPr>
      </w:pPr>
    </w:p>
    <w:p>
      <w:pPr>
        <w:jc w:val="both"/>
        <w:ind w:left="680" w:hanging="672"/>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80" w:hanging="672"/>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80" w:hanging="672"/>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60" w:hanging="677"/>
        <w:spacing w:after="0" w:line="266"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60" w:hanging="677"/>
        <w:spacing w:after="0" w:line="266"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60" w:hanging="677"/>
        <w:spacing w:after="0" w:line="282"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60" w:hanging="677"/>
        <w:spacing w:after="0" w:line="266"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80" w:right="20" w:hanging="672"/>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60" w:hanging="677"/>
        <w:spacing w:after="0" w:line="282"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60" w:hanging="677"/>
        <w:spacing w:after="0" w:line="282" w:lineRule="auto"/>
        <w:tabs>
          <w:tab w:leader="none" w:pos="1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Miglino</w:t>
            </w:r>
          </w:p>
        </w:tc>
      </w:tr>
      <w:tr>
        <w:trPr>
          <w:trHeight w:val="191"/>
        </w:trPr>
        <w:tc>
          <w:tcPr>
            <w:tcW w:w="574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Miglino</w:t>
            </w:r>
          </w:p>
        </w:tc>
      </w:tr>
      <w:tr>
        <w:trPr>
          <w:trHeight w:val="234"/>
        </w:trPr>
        <w:tc>
          <w:tcPr>
            <w:tcW w:w="5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 Blacher, certify that:</w:t>
      </w:r>
    </w:p>
    <w:p>
      <w:pPr>
        <w:spacing w:after="0" w:line="225" w:lineRule="exact"/>
        <w:rPr>
          <w:sz w:val="20"/>
          <w:szCs w:val="20"/>
          <w:color w:val="auto"/>
        </w:rPr>
      </w:pPr>
    </w:p>
    <w:p>
      <w:pPr>
        <w:ind w:left="680" w:hanging="335"/>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Axe Compute Inc.;</w:t>
      </w:r>
    </w:p>
    <w:p>
      <w:pPr>
        <w:spacing w:after="0" w:line="22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20" w:hanging="337"/>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20" w:hanging="337"/>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hanging="337"/>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20" w:hanging="337"/>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80" w:right="20" w:hanging="335"/>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337"/>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337"/>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 Blacher</w:t>
            </w:r>
          </w:p>
        </w:tc>
      </w:tr>
      <w:tr>
        <w:trPr>
          <w:trHeight w:val="191"/>
        </w:trPr>
        <w:tc>
          <w:tcPr>
            <w:tcW w:w="574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 Blacher</w:t>
            </w:r>
          </w:p>
        </w:tc>
      </w:tr>
      <w:tr>
        <w:trPr>
          <w:trHeight w:val="234"/>
        </w:trPr>
        <w:tc>
          <w:tcPr>
            <w:tcW w:w="5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Axe Compute Inc. (the “Company”) for the quarter ended March 31, 2026 as filed with the Securities and Exchange Commission (the “Report”), I, Christopher Miglino, Chief Executive Officer (Principal Executive Officer) and, I, Josh Blacher, Chief Financial Officer (Principal Financial Officer) of the Company, hereby certify as of the date hereof, solely for purposes of § 906 of the Sarbanes-Oxley Act of 2002, 18 U.S.C. § 1350, that to the best of my knowledge:</w:t>
      </w:r>
    </w:p>
    <w:p>
      <w:pPr>
        <w:spacing w:after="0" w:line="180"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11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Miglino</w:t>
            </w:r>
          </w:p>
        </w:tc>
      </w:tr>
      <w:tr>
        <w:trPr>
          <w:trHeight w:val="191"/>
        </w:trPr>
        <w:tc>
          <w:tcPr>
            <w:tcW w:w="574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Miglino</w:t>
            </w:r>
          </w:p>
        </w:tc>
      </w:tr>
      <w:tr>
        <w:trPr>
          <w:trHeight w:val="216"/>
        </w:trPr>
        <w:tc>
          <w:tcPr>
            <w:tcW w:w="57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Josh Blacher</w:t>
            </w:r>
          </w:p>
        </w:tc>
      </w:tr>
      <w:tr>
        <w:trPr>
          <w:trHeight w:val="191"/>
        </w:trPr>
        <w:tc>
          <w:tcPr>
            <w:tcW w:w="5740" w:type="dxa"/>
            <w:vAlign w:val="bottom"/>
          </w:tcPr>
          <w:p>
            <w:pPr>
              <w:spacing w:after="0"/>
              <w:rPr>
                <w:sz w:val="16"/>
                <w:szCs w:val="16"/>
                <w:color w:val="auto"/>
              </w:rPr>
            </w:pP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Josh Blacher</w:t>
            </w:r>
          </w:p>
        </w:tc>
      </w:tr>
      <w:tr>
        <w:trPr>
          <w:trHeight w:val="216"/>
        </w:trPr>
        <w:tc>
          <w:tcPr>
            <w:tcW w:w="57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3" Type="http://schemas.openxmlformats.org/officeDocument/2006/relationships/image" Target="media/image33.png"/><Relationship Id="rId40" Type="http://schemas.openxmlformats.org/officeDocument/2006/relationships/hyperlink" Target="http://www.sec.gov/Archives/edgar/data/1446159/000117184326000690/exh_101.htm" TargetMode="External"/><Relationship Id="rId41" Type="http://schemas.openxmlformats.org/officeDocument/2006/relationships/hyperlink" Target="http://www.sec.gov/Archives/edgar/data/1446159/000117184326000690/exh_102.htm" TargetMode="External"/><Relationship Id="rId42" Type="http://schemas.openxmlformats.org/officeDocument/2006/relationships/hyperlink" Target="http://www.sec.gov/Archives/edgar/data/1446159/000117184326000690/exh_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2026-05-15T16:14:57Z</dcterms:created>
  <dcterms:modified xsi:type="dcterms:W3CDTF">2026-05-15T16:14:57Z</dcterms:modified>
</cp:coreProperties>
</file>