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3" w:lineRule="exact"/>
        <w:rPr>
          <w:sz w:val="24"/>
          <w:szCs w:val="24"/>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 to 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001-36790</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412"/>
        </w:trPr>
        <w:tc>
          <w:tcPr>
            <w:tcW w:w="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160" w:type="dxa"/>
            <w:vAlign w:val="bottom"/>
            <w:gridSpan w:val="6"/>
          </w:tcPr>
          <w:p>
            <w:pPr>
              <w:ind w:left="240"/>
              <w:spacing w:after="0"/>
              <w:rPr>
                <w:sz w:val="20"/>
                <w:szCs w:val="20"/>
                <w:color w:val="auto"/>
              </w:rPr>
            </w:pPr>
            <w:r>
              <w:rPr>
                <w:rFonts w:ascii="Times New Roman" w:cs="Times New Roman" w:eastAsia="Times New Roman" w:hAnsi="Times New Roman"/>
                <w:sz w:val="32"/>
                <w:szCs w:val="32"/>
                <w:b w:val="1"/>
                <w:bCs w:val="1"/>
                <w:color w:val="auto"/>
              </w:rPr>
              <w:t>Axe Compute Inc.</w:t>
            </w:r>
          </w:p>
        </w:tc>
      </w:tr>
      <w:tr>
        <w:trPr>
          <w:trHeight w:val="228"/>
        </w:trPr>
        <w:tc>
          <w:tcPr>
            <w:tcW w:w="220" w:type="dxa"/>
            <w:vAlign w:val="bottom"/>
          </w:tcPr>
          <w:p>
            <w:pPr>
              <w:spacing w:after="0"/>
              <w:rPr>
                <w:sz w:val="19"/>
                <w:szCs w:val="19"/>
                <w:color w:val="auto"/>
              </w:rPr>
            </w:pPr>
          </w:p>
        </w:tc>
        <w:tc>
          <w:tcPr>
            <w:tcW w:w="107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220" w:type="dxa"/>
            <w:vAlign w:val="bottom"/>
          </w:tcPr>
          <w:p>
            <w:pPr>
              <w:spacing w:after="0"/>
              <w:rPr>
                <w:sz w:val="24"/>
                <w:szCs w:val="24"/>
                <w:color w:val="auto"/>
              </w:rPr>
            </w:pPr>
          </w:p>
        </w:tc>
        <w:tc>
          <w:tcPr>
            <w:tcW w:w="38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Delaware</w:t>
            </w:r>
          </w:p>
        </w:tc>
        <w:tc>
          <w:tcPr>
            <w:tcW w:w="6880" w:type="dxa"/>
            <w:vAlign w:val="bottom"/>
            <w:gridSpan w:val="4"/>
          </w:tcPr>
          <w:p>
            <w:pPr>
              <w:jc w:val="center"/>
              <w:ind w:left="1774"/>
              <w:spacing w:after="0"/>
              <w:rPr>
                <w:sz w:val="20"/>
                <w:szCs w:val="20"/>
                <w:color w:val="auto"/>
              </w:rPr>
            </w:pPr>
            <w:r>
              <w:rPr>
                <w:rFonts w:ascii="Times New Roman" w:cs="Times New Roman" w:eastAsia="Times New Roman" w:hAnsi="Times New Roman"/>
                <w:sz w:val="18"/>
                <w:szCs w:val="18"/>
                <w:color w:val="auto"/>
                <w:w w:val="98"/>
              </w:rPr>
              <w:t>33-1007393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2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tcPr>
          <w:p>
            <w:pPr>
              <w:jc w:val="center"/>
              <w:ind w:left="11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6"/>
                <w:szCs w:val="16"/>
                <w:color w:val="auto"/>
              </w:rPr>
            </w:pPr>
          </w:p>
        </w:tc>
      </w:tr>
      <w:tr>
        <w:trPr>
          <w:trHeight w:val="234"/>
        </w:trPr>
        <w:tc>
          <w:tcPr>
            <w:tcW w:w="220" w:type="dxa"/>
            <w:vAlign w:val="bottom"/>
          </w:tcPr>
          <w:p>
            <w:pPr>
              <w:spacing w:after="0"/>
              <w:rPr>
                <w:sz w:val="20"/>
                <w:szCs w:val="20"/>
                <w:color w:val="auto"/>
              </w:rPr>
            </w:pPr>
          </w:p>
        </w:tc>
        <w:tc>
          <w:tcPr>
            <w:tcW w:w="38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20" w:type="dxa"/>
            <w:vAlign w:val="bottom"/>
          </w:tcPr>
          <w:p>
            <w:pPr>
              <w:spacing w:after="0"/>
              <w:rPr>
                <w:sz w:val="24"/>
                <w:szCs w:val="24"/>
                <w:color w:val="auto"/>
              </w:rPr>
            </w:pPr>
          </w:p>
        </w:tc>
        <w:tc>
          <w:tcPr>
            <w:tcW w:w="1104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91 43rd Street, Suite 110 Pittsburgh, Pennsylvania 15201</w:t>
            </w:r>
          </w:p>
        </w:tc>
      </w:tr>
      <w:tr>
        <w:trPr>
          <w:trHeight w:val="228"/>
        </w:trPr>
        <w:tc>
          <w:tcPr>
            <w:tcW w:w="4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500" w:type="dxa"/>
            <w:vAlign w:val="bottom"/>
            <w:tcBorders>
              <w:top w:val="single" w:sz="8" w:color="auto"/>
            </w:tcBorders>
            <w:gridSpan w:val="2"/>
          </w:tcPr>
          <w:p>
            <w:pPr>
              <w:ind w:left="470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r>
        <w:trPr>
          <w:trHeight w:val="41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520" w:type="dxa"/>
            <w:vAlign w:val="bottom"/>
            <w:gridSpan w:val="2"/>
          </w:tcPr>
          <w:p>
            <w:pPr>
              <w:spacing w:after="0"/>
              <w:rPr>
                <w:sz w:val="24"/>
                <w:szCs w:val="24"/>
                <w:color w:val="auto"/>
              </w:rPr>
            </w:pPr>
          </w:p>
        </w:tc>
        <w:tc>
          <w:tcPr>
            <w:tcW w:w="5360" w:type="dxa"/>
            <w:vAlign w:val="bottom"/>
            <w:tcBorders>
              <w:bottom w:val="single" w:sz="8" w:color="auto"/>
            </w:tcBorders>
            <w:gridSpan w:val="2"/>
          </w:tcPr>
          <w:p>
            <w:pPr>
              <w:jc w:val="right"/>
              <w:ind w:right="4150"/>
              <w:spacing w:after="0"/>
              <w:rPr>
                <w:sz w:val="20"/>
                <w:szCs w:val="20"/>
                <w:color w:val="auto"/>
              </w:rPr>
            </w:pPr>
            <w:r>
              <w:rPr>
                <w:rFonts w:ascii="Times New Roman" w:cs="Times New Roman" w:eastAsia="Times New Roman" w:hAnsi="Times New Roman"/>
                <w:sz w:val="18"/>
                <w:szCs w:val="18"/>
                <w:color w:val="auto"/>
                <w:w w:val="97"/>
              </w:rPr>
              <w:t>(412) 432-1500</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780" w:type="dxa"/>
            <w:vAlign w:val="bottom"/>
            <w:tcBorders>
              <w:bottom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symbol(s)</w:t>
            </w:r>
          </w:p>
        </w:tc>
        <w:tc>
          <w:tcPr>
            <w:tcW w:w="42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780" w:type="dxa"/>
            <w:vAlign w:val="bottom"/>
            <w:tcBorders>
              <w:bottom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6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AGPU</w:t>
            </w:r>
          </w:p>
        </w:tc>
        <w:tc>
          <w:tcPr>
            <w:tcW w:w="4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42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26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42" w:lineRule="exact"/>
        <w:tabs>
          <w:tab w:leader="none" w:pos="2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3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1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sectPr>
          <w:pgSz w:w="11900" w:h="16838" w:orient="portrait"/>
          <w:cols w:equalWidth="0" w:num="2">
            <w:col w:w="4900" w:space="720"/>
            <w:col w:w="5620"/>
          </w:cols>
          <w:pgMar w:left="320" w:top="580" w:right="339" w:bottom="1440" w:gutter="0" w:footer="0" w:header="0"/>
          <w:type w:val="continuous"/>
        </w:sect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common stock held by non-affiliates was $7,965,485 based upon 639,798 shares at $12.45 per share as reported on the NASDAQ Capital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2026, the registrant had 5,539,267 shares of common stock, par value $.01 per share, outstanding.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20" w:type="dxa"/>
            <w:vAlign w:val="bottom"/>
            <w:gridSpan w:val="12"/>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AXE COMPUTE INC.</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20" w:type="dxa"/>
            <w:vAlign w:val="bottom"/>
            <w:gridSpan w:val="12"/>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76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10760" w:type="dxa"/>
            <w:vAlign w:val="bottom"/>
            <w:gridSpan w:val="30"/>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0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8380" w:type="dxa"/>
            <w:vAlign w:val="bottom"/>
            <w:gridSpan w:val="19"/>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ITEM 1B. UNRESOLVED STAFF COMMENTS</w:t>
            </w:r>
          </w:p>
        </w:tc>
        <w:tc>
          <w:tcPr>
            <w:tcW w:w="682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8160" w:type="dxa"/>
            <w:vAlign w:val="bottom"/>
            <w:gridSpan w:val="18"/>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8700" w:type="dxa"/>
            <w:vAlign w:val="bottom"/>
            <w:gridSpan w:val="20"/>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7880" w:type="dxa"/>
            <w:vAlign w:val="bottom"/>
            <w:gridSpan w:val="17"/>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32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107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PART II</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2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7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ITEM 6. [RESERVED]</w:t>
            </w:r>
          </w:p>
        </w:tc>
        <w:tc>
          <w:tcPr>
            <w:tcW w:w="20" w:type="dxa"/>
            <w:vAlign w:val="bottom"/>
            <w:tcBorders>
              <w:top w:val="single" w:sz="8" w:color="0000EE"/>
            </w:tcBorders>
          </w:tcPr>
          <w:p>
            <w:pPr>
              <w:spacing w:after="0"/>
              <w:rPr>
                <w:sz w:val="24"/>
                <w:szCs w:val="24"/>
                <w:color w:val="auto"/>
              </w:rPr>
            </w:pPr>
          </w:p>
        </w:tc>
        <w:tc>
          <w:tcPr>
            <w:tcW w:w="8700" w:type="dxa"/>
            <w:vAlign w:val="bottom"/>
            <w:gridSpan w:val="20"/>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956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8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7"/>
              </w:rPr>
              <w:t>ITEM 8. FINANCIAL STATEMENTS AND SUPPLEMENTARY DATA</w:t>
            </w:r>
          </w:p>
        </w:tc>
        <w:tc>
          <w:tcPr>
            <w:tcW w:w="1600" w:type="dxa"/>
            <w:vAlign w:val="bottom"/>
            <w:tcBorders>
              <w:top w:val="single" w:sz="8" w:color="0000EE"/>
            </w:tcBorders>
            <w:gridSpan w:val="2"/>
          </w:tcPr>
          <w:p>
            <w:pPr>
              <w:spacing w:after="0"/>
              <w:rPr>
                <w:sz w:val="24"/>
                <w:szCs w:val="24"/>
                <w:color w:val="auto"/>
              </w:rPr>
            </w:pPr>
          </w:p>
        </w:tc>
        <w:tc>
          <w:tcPr>
            <w:tcW w:w="350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6300" w:type="dxa"/>
            <w:vAlign w:val="bottom"/>
            <w:tcBorders>
              <w:top w:val="single" w:sz="8" w:color="0000EE"/>
            </w:tcBorders>
            <w:gridSpan w:val="10"/>
          </w:tcPr>
          <w:p>
            <w:pPr>
              <w:spacing w:after="0"/>
              <w:rPr>
                <w:sz w:val="24"/>
                <w:szCs w:val="24"/>
                <w:color w:val="auto"/>
              </w:rPr>
            </w:pPr>
          </w:p>
        </w:tc>
        <w:tc>
          <w:tcPr>
            <w:tcW w:w="68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268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412"/>
        </w:trPr>
        <w:tc>
          <w:tcPr>
            <w:tcW w:w="107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PART III</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5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388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gridSpan w:val="7"/>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1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w:t>
            </w:r>
          </w:p>
        </w:tc>
        <w:tc>
          <w:tcPr>
            <w:tcW w:w="3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MATTERS</w:t>
            </w:r>
          </w:p>
        </w:tc>
        <w:tc>
          <w:tcPr>
            <w:tcW w:w="9600" w:type="dxa"/>
            <w:vAlign w:val="bottom"/>
            <w:gridSpan w:val="24"/>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7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ITEM 14. PRINCIPAL ACCOUNTANT FEES AND SERVICES</w:t>
            </w:r>
          </w:p>
        </w:tc>
        <w:tc>
          <w:tcPr>
            <w:tcW w:w="570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54</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10080" w:type="dxa"/>
            <w:vAlign w:val="bottom"/>
            <w:gridSpan w:val="25"/>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15. EXHIBIT AND FINANCIAL STATEMENT SCHEDULES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ITEM 16. FORM 10-K SUMMARY</w:t>
            </w:r>
          </w:p>
        </w:tc>
        <w:tc>
          <w:tcPr>
            <w:tcW w:w="2420" w:type="dxa"/>
            <w:vAlign w:val="bottom"/>
            <w:tcBorders>
              <w:top w:val="single" w:sz="8" w:color="0000EE"/>
            </w:tcBorders>
            <w:gridSpan w:val="6"/>
          </w:tcPr>
          <w:p>
            <w:pPr>
              <w:spacing w:after="0"/>
              <w:rPr>
                <w:sz w:val="24"/>
                <w:szCs w:val="24"/>
                <w:color w:val="auto"/>
              </w:rPr>
            </w:pPr>
          </w:p>
        </w:tc>
        <w:tc>
          <w:tcPr>
            <w:tcW w:w="534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59</w:t>
            </w:r>
          </w:p>
        </w:tc>
        <w:tc>
          <w:tcPr>
            <w:tcW w:w="0" w:type="dxa"/>
            <w:vAlign w:val="bottom"/>
          </w:tcPr>
          <w:p>
            <w:pPr>
              <w:spacing w:after="0"/>
              <w:rPr>
                <w:sz w:val="1"/>
                <w:szCs w:val="1"/>
                <w:color w:val="auto"/>
              </w:rPr>
            </w:pPr>
          </w:p>
        </w:tc>
      </w:tr>
      <w:tr>
        <w:trPr>
          <w:trHeight w:val="595"/>
        </w:trPr>
        <w:tc>
          <w:tcPr>
            <w:tcW w:w="3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SUMMARY OF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 The following summarizes the principal risks of our business:</w:t>
      </w:r>
    </w:p>
    <w:p>
      <w:pPr>
        <w:spacing w:after="0" w:line="1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negative operating cash flows;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needs to accomplish our goals, including any further financing, which may be highly dilutive and may include onerous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recent and future acquisitions, including risks related to the benefits and costs of acquisition;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digital asset treasury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volatile and unpredictable changes in the price of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ATH ecosystem;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opportunities to stake ATH; and</w:t>
      </w:r>
    </w:p>
    <w:p>
      <w:pPr>
        <w:spacing w:after="0" w:line="225"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initiation, formation, or success of our collaboration arrangements, commercialization activities and product sales levels by our collaboration partners and future payments that may come due to us under these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be unable to protect our intellectual property or claims that we are infringing on others’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maintenance of any necessary regulatory clearances applicable to applications of our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or retain qualified senior management personnel, including sales and marketing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never become profitable if our products and services are not accepted by potential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impact of government regulation and scrutiny;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operating deficits, and lower than expected sales and revenues,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any legal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operating results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business and operations could be materially and adversely affected by disruptions caused by economic and geopolitical uncertainties as well as epidemics or pandemics;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risks that may be alluded to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References in this annual report on Form 10-K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the business of Axe Compute Inc. (NASDAQ: AGPU) and its wholly owned subsidiaries.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late 2025, we expanded our business strategy to include a compute business under the Axe Compute brand, and renamed the Company Axe Compute Inc., effective December 11, 2025. Through a distributed network model, Axe Compute seeks to provide customers with access to graphics processing unit (“GPU”) compute capacity for artificial intelligence and other high-performance computing workloads, sourced primarily through infrastructure made available by the Aethir network. In connection with this strategic expansion, we adopted a digital asset treasury strategy focused on the Aethir token (“ATH”), the native utility token of the Aethir network, to support our participation in the Aethir ecosystem (“Treasury Strategy”). Collectively, we refer to this new operating business as our Compute Services and Treasury Management segment, which is the priority of the Company and Management’s focus.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embarked upon this direction because the global compute market represents a significant and rapidly growing commercial opportunity. According to Research and Markets (2026), the global compute market is estimated to be valued at over $1 trillion in 2026, with a compound annual growth rate of approximately 9.9%, and is expected to nearly double in value by 2032. When focused specifically on AI-related computing services, many forecasters estimate growth rates exceeding 30% annually, with the AI compute market anticipated to reach a total value in excess of $1 trillion by 2034 (Cognitive Market Research; Statifacts, 2025). McKinsey &amp; Company estimated in 2025 that over 50% of all data center capacity was already dedicated to AI workloads, an amount they expect to grow by a factor of 3.5 times by 2030, and that approximately $6.7 trillion will be spent on data centers globally between 2025 and 2030, of which approximately 65.7% will be GPU-related. Gartner estimates worldwide AI spending will total $2.5 trillion in 2026 alone. Despite this unprecedented level of investment, demand continues to significantly outpace supply: as of early 2026, North American data center vacancy rates reached a record low of 1.6%, data center demand increased 24% in 2025, and average lead times for data center GPUs stand at 36 to 52 weeks (CBRE Investment Management, 2026). The Company believes this supply-demand imbalance creates a significant opportunity for its GPU compute business, which operates through the Aethir network to provide distributed GPU compute capacity for AI and other high-performance computing workloads.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2025, the Company announced the launch of its Treasury Strategy focused on ATH. Aethir is a leading decentralized physical infrastructure network developed by DCI Foundation, a Panama foundation company (“DCI”), that provides a decentralized GPU network, connecting producers and consumers of GPU compute power at enterprise scale, supporting applications such as artificial intelligence computation, gaming and cloud workloads.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Treasury Strategy, the Company intends to continue acquiring additional ATH in the open market and to earn yield on its ATH treasury holdings by engaging in ATH staking and other activities. As a holder of ATH, the Company accrues unrealized gains or losses from any appreciation or depreciation, as applicable, in the value of ATH tokens, which trade on various cryptocurrency exchanges.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is focusing its resources on the Treasury Strategy, and a significant portion of the Company’s balance sheet will be allocated to holding ATH pursuant to its Treasury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Treasury Strategy is primarily dedicated to ATH, and the Company does not intend to allocate treasury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Company’s Treasury Strategy is intended to bring value to its stockholders through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proceeds from equity and debt financings to purchase and hold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the majority of the ATH in the Company’s treasury to earn a staking yield and turn the treasury into a productive asset;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locked ATH at a discount to the current spot price;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the Company’s ATH holdings, whether on the open market, through block trades, or other negotiated transactions, for various reasons and at various times, including, in order to fund its working capital and general corporate needs.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Axe Compute also continues to operate its Drug Discovery Services business, which we also refer to as our ‘legacy’ business (“Legacy Business”), which is designed to support the discovery and development of optimal cancer therapies. In the Legacy Business, the Company uses AI and its proprietary biobank of 150,000+ tumor samples, categorized by tumor type, to provide actionable insights about drug compounds to improve the drug discovery process and increase the probability of drug compound success. The Company also creates and develops tumor-specific 3D cell culture models mimicking the physiological environment of human tissue, enabling better-informed decision-making during drug development. In February 2026, the Company announced that it is exploring strategic alternatives for this oncology drug discovery solutions business, but the Company’s Board of Directors (the “Board”) has not committed to a specific course of action. Accordingly, the oncology drug discovery solutions business did not meet the criteria under Financial Accounting Standards Board (the “FASB”) Accounting Standards Codification (“ASC”) 205-20, Discontinued Operations to be classified as discontinued operations and held for sale, and therefore is reflected as continuing operations within these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Transactions and Recent Events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the Company completed the sale of assets related to its wholly owned subsidiary, Skyline Medical Inc., to DeRoyal Industries, Inc., a global manufacturer and supplier of medical products. Skyline Medical produced the FDA-cleared STREAMWAY System and associated products for automated medical fluid waste management and patient-to-drain medical fluid disposal and was previously classified as the Company’s Eagan operating segment.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19, 2025, the Company’s stockholders approved a one-for-fifteen (1-for-15) reverse stock split of the Company’s common stock, which became effective at 12:01 a.m. on Tuesday, September 30,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8, 2025, the Company announced the closing of two previously announced private investment in public equity transactions (“PIPEs”) totaling approximately $343.5 million to support the Company’s adoption of a digital asset treasury strategy focused on ATH, the native utility token of the Aethir ecosystem. The Company raised an aggregate of approximately $343.5 million in the PIPEs from the purchase and sale of (i) an aggregate of approximately 4.4 million shares of common stock (or pre-funded warrants to purchase shares of common stock in lieu thereof) for a purchase price of $11.6265 per share (the “Offering Price”) of common stock (or per pre-funded warrant in lieu thereof) for aggregate cash gross proceeds of approximately $50.8 million (the “Cash PIPE”), and (ii) pre-funded warrants to purchase up to approximately 14.9 million shares of common stock for a purchase price of $11.6165 per pre-funded warrant in exchange for approximately $292.7 million in notional value representing approximately $173.3 million in discounted value of in-kind contributions of locked and unlocked ATH (the “Crypto PIPE”). The pre-funded warrants issued in the Crypto PIPE became exercisable immediately following the Company’s receipt of shareholder approval for the exercise of such pre-funded warrants. The PIPEs closed concurrently on October 7, 2025. The Company has used the cash and in-kind contribution of ATH to fund the Company’s digital asset treasury strategy as well as for working capital and general corporate purposes.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 2025, we received formal notice from the Nasdaq Hearings Panel (the “Panel”) of The Nasdaq Stock Market LLC (“Nasdaq”) notifying us that we were in compliance with the stockholders’ equity requirement set forth in Nasdaq Listing Rule 5550(b)(1) (the “Stockholders’ Equity Requirement”). Accordingly, the previously disclosed listing matter has been closed. Nasdaq’s notice further stated that pursuant to Listing Rule 5815(d)(4) (B), the Company will be subject to a mandatory panel monitor for a period of one year from December 1, 2025. If, within that one-year monitoring period, the Nasdaq Listing Qualification Staff (the “Staff”) finds the Company again out of compliance with the Stockholders’ Equity Requirement, notwithstanding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Nasdaq Listing Rule 5810(c)(3). Instead, the Staff will issue a delist determination letter and the Company will have an opportunity to request a new hearing with the initial Panel or a newly convened hearings panel if the initial Panel is unavailable.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11, 2025, we changed our corporate name from Predictive Oncology Inc. to Axe Compute Inc. following the filing of a Certificate of Amendment to our Certificate of Incorporation with the Secretary of State of the State of Delaware (the “Name Change”). Beginning on December 12, 2025, our common stock began trading on the Nasdaq Capital Market under the ticker symbol “AGPU.” In connection with the Name Change, we announced an expansion of our business strategy to include high-performance enterprise artificial intelligence infrastructure. Our historical oncology drug discovery and biomedical research operations, or Legacy Business, includes our AI-driven tumor drug-response prediction platforms, proprietary tumor biobank and related laboratory and biomarker testing services, and were developed under our prior Predictive Oncology business model. We intend to evaluate opportunities for the Legacy Business, including the potential use of the data assets and predictive models developed through those operations in connection with our expanded artificial intelligence infrastructure strategy.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6, 2026, our Board voted to terminate, without cause, the employment of Raymond F. Vennare as Chief Executive Officer, effective February 9, 2026. Mr. Vennare also resigned as Chairman and a member of the Board effective the same date. In connection with his termination, Mr. Vennare entered into a separation agreement providing for severance and other benefits. The Board appointed Chuck Nuzum, an existing member of the Board, as Chairman effective February 9, 2026. In addition, the Board appointed Christopher Miglino as Chief Executive Officer and as a member of the Board effective February 9, 2026. In connection with his appointment, we entered into an employment agreement with Mr. Miglino and granted him stock options to purchase 500,000 shares of our common stock as an inducement award.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2026, we announced that we engaged Cardiff Advisory LLC to assist in exploring strategic alternatives for our Legacy Business. The strategic review process, which is being conducted under the oversight of our Board, may include a potential sale, partnership, licensing arrangement, joint venture or other transaction involving the Company’s biobank platform and related operations. The review reflects our continued focus on advancing our artificial intelligence compute infrastructure strategy while evaluating opportunities to maximize value from non-core legacy assets. There can be no assurance that the strategic review process will result in any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2026, we announced that our Board appointed Dr. Theodore Zhu and Thorsten Dirks as members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operated in two business areas: (1) the Compute Services and Treasury Management segment, which provides services that include access to GPU compute capacity and manages the Company’s ATH Treasury Strategy; and (2) the Drug Discovery Services segment, which provides services that include the application of AI using its proprietary biobank of 150,000+ tumor samples, as well as creation of proprietary 3D culture models used in drug development.</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Compute Services and Treasury Management segment is the priority of the Company and remains Management’s focus. In regards to the Drug Discovery Services segment, in February 2026, the Company announced that it is exploring strategic alternatives for the business; however, the Company’s Board has not committed to a specific course of action and, as such, does not meet the criteria under FASB ASC 205-20, Discontinued Operations, to be classified as discontinued operations and held for sale. We sometimes also refer to the Drug Discovery Services segment as our “Legacy Business”.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Compute Services and Treasury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 Services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Compute Services segment, we provide enterprises, AI developers, and large-scale workload operators with on-demand access to high-performance GPU compute infrastructure. Our network encompasses global locations and over 435,000 GPUs capable of supporting a broad range of artificial intelligence, machine learning, and high-performance computing workloads. We deliver compute capacity to customers through a managed infrastructure model, typically within 48 hours of customer engagement, without requiring customers to make capital investments in physical hardware or data center facilities.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infrastructure is designed to serve both traditional enterprise AI workloads and participants in decentralized physical infrastructure networks. We operate on an asset-light model—we do not own or operate physical data centers—which allows us to scale compute capacity in response to customer demand without material capital expenditure. Revenue from Compute Services is generated primarily through reserved GPU capacity contracts, under which customers commit to capacity on a prepaid basis, typically under 12- to 36 -month terms. Pricing is structured on a per-GPU per-hour basis and is positioned competitively relative to centralized hyperscale cloud providers. We also offer ancillary storage and CPU services billed alongside GPU compute under the same contractual arrangements.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use of ATH tokens as a settlement mechanism, we integrate our Compute Services with our Treasury Strategy. Under this model, Axe Compute may settle our compute obligations using ATH. When we purchase new ATH in the open market, we earn an additional 20% revenue in the form of additional ATH. We believe this integration creates a compounding economic relationship between our compute revenue and our token treasury position that is differentiated from the revenue models of traditional GPU cloud providers.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Management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29, 2025, we adopted a digital asset Treasury Strategy focused on ATH, the native utility token of the Aethir network. Aethir is a decentralized physical infrastructure network developed by DCI Foundation, a Panama foundation company (“DCI”), that supports GPU compute workloads. ATH is used within the Aethir ecosystem for functions including GPU rentals, staking, validation and network incentives. On December 31, 2025, we held approximately 2.837 billion unlocked ATH with a fair market value of $24.4 million, and a right to receive 3.511 billion locked ATH that are subject to vesting and/or transfer restrictions with a fair market value of $15.5 million after applying a discount for lack of transferability and control. Together, the Company’s treasury included 6.348 billion ATH and future rights thereto which, multiplied by the closing price of $0.0086 per ATH on December 31, 2025, represents a market value of approximately $54.6 million, on an as if vested and claimed basis, that can be deployed to access compute.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acquiring additional ATH in the open market and to earn yield on its ATH treasury holdings by engaging in ATH staking and other activities. As a holder of ATH, the Company accrues unrealized gains or losses from any appreciation or depreciation, as applicable, in the value of ATH tokens, which trade on various cryptocurrency exchanges. With the Company focusing its resources on the Treasury Strategy, a significant portion of its balance sheet will be allocated to holding ATH.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Treasury Strategy is primarily dedicated to ATH, and the Company does not intend to allocate treasury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Treasury Strategy is intended to bring value to its stockholders through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proceeds from equity and debt financings to purchase and hold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the majority of the ATH in the Company’s treasury to earn a staking yield and turn the treasury into a productive asset;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locked ATH at a discount to the current spot price;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the Company’s ATH holdings, whether on the open market, through block trades, or other negotiated transactions, for various reasons and at various times, including, in order to fund its working capital and general corporate needs.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Drug Discovery Services / Legacy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Drug Discovery Solutions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PEDAL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Patient-centric Drug Discovery using Active Learning (“PEDAL”™), our proprietary AI-driven platform, offered by our Drug Discovery Services segment, is designed to provide high-confidence drug-response predictions. This platform combines our biobank of samples with a one-of-a-kind database of historical tumor data, and the power of AI to efficiently build predictive models of tumor drug response. Our PEDAL asset is a unique technology that combines one of the largest privately held commercial biobanks of tumor samples, AI active machine learning, and multi-omic historical tumor data – complete with on-site Clinical Laboratory Improvement Amendments (“CLIA”) certified lab testing capabilities to inform drug/tumor model predictions. PEDAL offers researchers the opportunity to incorporate patient diversity early, efficiently, and cost-effectively into the drug discovery process by using data from hundreds of patient samples. PEDAL works by iterative cycles of active learning to guide the testing of patient samples against specific compounds. This results in PEDAL efficiently building comprehensive predictive models of patient drug response in a matter of weeks. This predictive model can rank compounds against tumor samples of certain profiles that respond to specific drugs and can also predict the set of compounds that provide the best coverage across patient tumor samples.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leveraging our unique, historical database of tumor drug responses, genomics, biomarkers, digitized pathology slides, and histopathology data with over 150,000 patient tumor samples to efficiently build AI driven predictive models of tumor drug response will provide actionable insights critical to new drug development. Through the course of over 15 years of clinical testing of patient tumor responses to drugs, our Pittsburgh lab has amassed a huge proprietary knowledgebase of data. To provide for our patient-centric approach, this dataset has been rigorously de-identified and aggregated to inform our proprietary process to create models of tumor drug response.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PEDAL can significantly increase the probability of clinical success by introducing patient diversity early in the development process, while also decreasing the time and cost of oncology drug discovery programs. Our large knowledgebase of tumor drug response and other data, together with proven AI, has created a unique capability for oncology drug discovery, utilizing this highly efficient screening of drug responses against thousands of diverse, well-characterized patient primary tumor samples. With each iteration of a PEDAL campaign, the program learns, predicts, and then directs the most informative wet lab experimentation, while building the predictive model. This allows for a unique and streamlined approach in which AI-driven predictions are tested against samples from this expansive and diverse biobank to more efficiently and effectively narrow down viable drug-tumor pairings. This novel disruptive approach is ideally suited to the early part of drug discovery while also being highly customizable to meet the needs of our collaborators. Our patient-centric drug discovery approach provides for the prioritization of drug compound candidates while accounting for patient tumor diversity. This should dramatically improve the chances of successfully translating discoveries into successful therapies, while simultaneously lowering costs through shortened development timelines, and most importantly, enhanced “speed-to-patient” for new therapies.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part of our commercialization strategy has been the understanding that our AI-driven models of tumor drug response serve a key unmet need of pharmaceutical, diagnostic, and biotech industries for actionable multi-omic insights into cancer. In collaboration with these companies, using the predictive models, we will accelerate the search for more effective cancer treatments through biomarker discovery, drug screening, drug repurposing, and ultimately clinical trials with higher probability of success.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PEDAL, which incorporates CORE™, our active machine learning program, with tumor profile data and human tumor samples, provides optimized, efficient, high-confidence drug-response predictions. Our platform is designed to move molecules forward with a higher probability of clinical success. The focus of our business strategy is to leverage and expand our portfolio of proprietary solutions to advance drug discovery and enable oncology drug development for our biopharma partners.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3D Modeling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Drug Discovery Services segment also develops tumor-specific in vitro models for oncology drug discovery and research. Our 3D tumor-specific models accelerate the drug development process for our clients and partners by providing drug response predictions with high correlation to clinical response, enabling our biopharma clients to manage pipeline prioritization more efficiently.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3D models incorporate tissue-specific extracellular matrices and tumor-specific medium supplements allowing for a true reconstruction of tumor microenvironment. Our approach is compatible with multiple classes of immuno-oncology agents from antibody and antibody-drug conjugates to bi- and tri-specific compounds and CAR-T cells. The organ-specific disease models provide 3D reconstruction of human tissues accurately representing each disease state and mimicking drug response.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3D platform maintains tumor-tumor and tumor-stroma interactions and incorporates both cellular and extracellular elements of tissue microenvironment including soluble factors in an organ- and disease-specific manner. It is compatible with multiple cell types, drug classes, and downstream analysis methods. Our models support proliferation of malignant and non-malignant cellular components of tissues.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include providing efficacy screening of anticancer compounds, evaluation of mechanisms of drug resistance, identification of new drug combinations, rescue of failed drug candidates, assessment of off-target toxicity, target discovery and biomarker discovery. Product offerings include preclinical testing services based on our proprietary models directly to clients in the biopharmaceutical industry.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Testing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wholly owned subsidiary, Helomics Corporation (“Helomics”), reported under our Drug Discovery Services segment, we offer a group of clinically relevant, cancer-related tumor profiling and biomarker tests for gynecological cancers that determine how likely the patient is to respond to various types of available chemotherapy treatments and which therapies might be indicated by relevant tumor biomarkers.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diagnostic testing is comprised of our Tumor Drug Response Testing (ChemoFx™), Genomic Profiling Testing (BioSpeciFx), and other biomarker tests. The Tumor Drug Response Testing test determines how a patient’s tumor specimen reacts to a panel of various chemotherapy drugs, while the Genomic and biomarker profiling evaluates the expression and/or status of a particular gene or protein related to a patient’s tumor specimen.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Testing involves obtaining tumor tissue during biopsy or surgery, which is then sent to our CLIA certified laboratory using a special collection kit. Tumor Drug Response Testing is a fresh tissue platform that uses the patient’s own live tumor cells to help physicians identify effective treatment options for each gynecologic cancer patient.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Genomic Profiling offers a select group of clinically relevant protein expression and genomic mutation tests associated with drug response and disease prognosis. Physicians can select biomarkers for testing from carefully chosen panels of relevant tests, organized by cancer pathway and tumor type. Results for these tests are presented in a clear, easy to understand format, including summaries of the clinical relevance of each marker.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Background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 Services and Treasury Management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compute infrastructure market represents a significant and growing opportunity. The global cloud computing market— which encompasses the infrastructure-as-a-service and platform-as-a-service segments most relevant to GPU compute— is estimated at approximately $1 trillion in 2026 and is projected to reach approximately $2.4 to $3.3 trillion by 2030 to 2033, representing compound annual growth rates of approximately 16% to 20%, according to multiple independent market research firms. When focused specifically on AI-related computing, worldwide AI spending is forecast to total $2.52 trillion in 2026, a 44% increase year-over-year, according to Gartner. Building AI foundations alone is expected to drive a 49% increase in spending on AI-optimized servers in 2026, representing 17% of total AI spending. McKinsey &amp; Company estimated in 2025 that over 50% of all data center capacity was already dedicated to AI workloads, an amount they expect to grow by a factor of approximately 3.5 times by 2030, and that approximately $6.7 trillion will be spent on data centers globally between 2025 and 2030. Notwithstanding this level of investment, demand continues to outpace supply. As of early 2026, North American data center vacancy rates reached a record low of 1.6% and data center demand increased approximately 24% in 2025, and average GPU procurement lead times stand at 36 to 52 weeks, according to CBRE Investment Management. We believe this supply-demand imbalance creates a significant opportunity for our GPU compute business, which provides distributed GPU compute capacity for AI and other high-performance computing workloads.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Drug Discovery Services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growing demand for the improvement in the discovery and development process of novel drug therapies is driving the demand for AI-empowered solutions. Growing partnerships and cooperation are expected to fuel global market for AI in drug development. The adoption of AI solutions in the drug development process increases efficiency, reduces cycle time, and increases the productivity and accuracy of the risky and long process. Due to these advantages, the importance of AI in drug discovery and development is expected to drive the global market. AI-powered drug discovery is an emerging approach that considers individual variability in multi-omics, including genes, disease and environment to develop effective therapies. This approach predicts more accurately which treatment, dose, and therapeutic regimen could provide the best possible clinical outcome. Biopharmaceutical companies, contract research organizations, academia, and other stakeholders began integrating AI-based solutions in their drug development processes to enhance outcomes and curb costs.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uniquely positioned with our PEDAL platform to provide early insights that clients can use to prioritize drugs for development and identify patient-centric indications. In addition, the PEDAL platform can be used to re-purpose previously failed drug compounds. We aim to leverage the PEDAL platform for our biopharma clients and help them prioritize their oncology portfolio. The PEDAL platform supports a biopharma client’s decision on the drug molecules with a higher likelihood of clinical success. With PEDAL, we look to improve/enhance the way that the biopharma industry carries out the development of oncology drugs. We believe our platform provides unique financial- and time-saving advantages for pharmaceutical companies.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passage of the FDA Modernization Act 2.0 will increase the use of non-animal methods to study the mechanisms of diseases and to test the effectiveness of new drugs. The FDA Modernization Act 2.0 allows for alternatives to animal-testing requirements for the development of drugs and allows drug manufacturers to opt out of animal testing while utilizing other testing methods to develop drugs, such as cell-based assays, organ-on-a-chip technology, computer models, and other human biology-based test methods. We expect the market to continue to grow due to a shift towards more efficient, accurate and predictive models.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and Competitive Advantages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 Services and Treasury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GPU compute infrastructure and AI cloud services is competitive and rapidly evolving. Our principal competitors include specialized GPU cloud platforms, operators of dedicated AI data center infrastructure, and distributed GPU infrastructure providers. We also compete indirectly with major public hyperscale cloud providers, which offer GPU compute capacity as part of a broader portfolio of cloud services. Many of these competitors have substantially greater financial, technical, sales, and marketing resources than we do, and some have longer operating histories and broader customer relationships in the enterprise market.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competitive position is supported by several key factors. First, our globally distributed network provides geographic diversity and access to compute resources across multiple regions that we believe is difficult to replicate at speed. Second, our 48-hour provisioning capability and flexible contract structures allow customers to scale GPU capacity in response to near-term workload demands without the multi-month lead times typically associated with dedicated data center deployments. Third, our asset-light operating model—under which we do not own physical data center facilities— allows us to grow our addressable footprint without the capital intensity that characterizes many of our competitors. Fourth, our integration of ATH token settlement creates an additional economic incentive structure that we believe differentiates our offering for customers participating in decentralized infrastructure ecosystems. We believe these factors, together with our pricing model, differentiate us from both hyperscale cloud providers and dedicated AI infrastructure operators. However, there can be no assurance that we will be able to maintain or improve our competitive position, and competitive pressures could materially and adversely affect our revenue, margins,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Drug Discovery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average, new oncology drug compounds take 10-12 years to become approved for use, from discovery to commercial launch. Identifying those compounds is a difficult process with a significant majority of compounds failing. This failure is costly in time and resources, particularly when the compounds fail during the clinical trial stages. It is estimated that 90-95% of compounds fail between first human dose and launch. One of the reasons for this high failure rate is the inability of oncology drug compounds in clinical trials to meet the therapeutic end points in a large population.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companies addressing the needs in the drug discovery market are looking at the drug discovery and development challenges from different angles. However, we believe no other company has access to a comparable privately held biobank with tumor drug responses, genomics, biomarkers, digitized pathology slides, and histopathology data. The ability to pair AI with our biobank provides us with a competitive advantage and creates a barrier to entry for competitors in the drug response prediction space.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this patient-derived, highly curated, multi-omic tumor model offers a better chance of generating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new drug development, individualizing patient treatment, drug repurposing, and biomarker development. Identifying cohorts of patient tumors most responsive to candidate drugs informs the early drug candidate selection process in a patient-centric manner that we do not believe is offered elsewhere. The tumor cohorts identified by our models can also be analyzed and stratified to optimize patient selection criteria for improved clinical trials. A deeper analysis of these same tumor cohorts found to be highly responsive to a particular drug candidate can be further utilized for targeted biomarker development and/or targeted assay development.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fulfill unmet needs in the drug discovery market with the next-generation technology of our 3D models, based on extensive knowledge of the human tumor microenvironment creating accurate reconstruction of the organ-specific 3D tissue microenvironment enabling evaluation of therapeutic agents under conditions mimicking human physiology. The main competitive advantage of our technology is the tumor-specific nature of its systems. 3D models replicate tissue heterogeneity and provide maintenance of primary human cells, organoids, and cell lines under the native conditions of human disease. The 3D models are formulated to mimic the tissue and/or disease of interest instead of pursuing a one-size-fits-all approach taken by other companies. Recreating specific tumor microenvironments enables more reliable prediction of tissue response to drugs with varying mechanisms of action. This same technology can also be used to demonstrate potential toxic drug effect on normal tissues by maintaining an accurate reconstruction of cellular and extracellular compartments of human tissues.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 Services and Treasury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Compute Services segment depends on the availability of high-performance GPU hardware and the underlying data center and network infrastructure required to operate it. We source GPU hardware primarily from NVIDIA Corporation, which is currently the dominant supplier of GPUs used for artificial intelligence training and inference workloads. We do not manufacture any hardware ourselves. Our ability to expand compute capacity depends on our ability to procure sufficient quantities of GPU hardware and supporting infrastructure on commercially acceptable terms and within time frames consistent with customer demand.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GPU supply has at times been constrained due to strong global demand from AI developers, hyperscale cloud providers, and other large-scale compute operators. We work to maintain relationships with multiple hardware and infrastructure providers across our network of over 200 locations, and our distributed, multi-location model is intended to partially mitigate single-supplier and single-facility concentration risk relative to operators that depend on a smaller number of large data center facilities. However, the loss of or significant disruption to our access to NVIDIA GPU supply, or material price increases or extended delivery lead times from key hardware or infrastructure suppliers, could materially delay our ability to fulfill customer orders, reduce our available capacity, and materially and adversely affect our business, results of operations, and financial condition. We cannot guarantee that we will be able to secure GPU hardware in the quantities or on the timelines required to meet customer demand or execute our growth strategy.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Discovery Services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buy our raw materials from several suppliers and, except as set forth below, the loss of any one supplier would not materially adversely affect our business. 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that we need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 We have existing and good relationships with our service vendors.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our Legacy Business is a part of Axe Compute, we will continue to invest appropriately in intellectual property in order to maintain a competitive advantage in the marketplace. Our Legacy Business relies on a combination of patent, trade secret intellectual property rights, and other measures to protect our intellectual property. We seek to protect our trade secrets and proprietary know-how, in part, with confidentiality agreements with employees, although we cannot be certain that the agreements will not be breached, or that we will have adequate remedies if a breach were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Legacy Business and our Treasury Strategy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13 full-time employees and 1 part-time employee as of December 31, 2025. None of our employees are subject to a collective bargaining agreement and we believe our relations with our employees are satisfactory. Our human capital resources objectives include identifying, recruiting, retaining, incentivizing and integrating our existing and new employees, and we recruit people for positions regardless of gender, ethnicity or other protected traits.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91 43rd Street, Suite 110, Pittsburgh, Pennsylvania and our telephone number is (412) 432-1500.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originally incorporated in Minnesota on April 23, 2002, and reincorporated in Delaware in 2013. We changed our name from Skyline Medical Inc. to Precision Therapeutics Inc. on February 1, 2018, then to Predictive Oncology Inc. on June 13, 2019, and finally to Axe Compute Inc. on December 11,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website address is https://axecompute.com/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contained on our website is not incorporated by reference into this Annual Report on Form 10-K unless expressly noted.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which we make available on our website free of charge at https://investors.axecompute.com/financial-information. These reports include Annual Reports on Form 10-K, Quarterly Reports on Form 10-Q and 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In addition, the SEC maintains a website (https://www.sec.gov) that contains reports, proxy and information statements, and other information regarding issuers that file electronically with the SEC, including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adopted a digital asset treasury strategy with a focus on ATH, and we may be unable to successfully implement this new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digital asset treasury primarily dedicated to ATH, including potential acquisitions through staking and other decentralized finance and compute activities. There is no assurance that we will be able to successfully implement this new strategy or operate network-related activities at the scale or profitability currently anticipated. This strategic shift requires specialized employee skillsets and operational, technical and compliance infrastructure to support ATH and related staking activities. This also requires that we implement internal processes related to overall security of assets and treasury management practices. Further, there is ongoing scrutiny and limited formal guidance from regulatory agencies, including Nasdaq and the SEC, with respect to the treatment of public company cryptocurrency strategies. There is no assurance that we will be able to execute this strategy by building out the needed infrastructure within the timeframe that we currently anticipate. The success of our digital asset treasury strategy will depend in part upon the efforts, processes, technology and intellectual property of third parties outside of our control, including, without limitation, the developers of Aethir and any asset managers or custodians retained in connection with the strategy. As a result, our shift towards ATH could have a material adverse effect on our business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shift towards an Aethir-focused strategy requires substantial changes in our day-to-day operations and exposes us to significant operational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shift towards an ATH treasury-focused strategy, potentially including staking, enterprise compute sales and other decentralized finance activities, exposes us to significant operational risks. The Aethir network evolves rapidly, and frequent upgrades and protocol changes may require significant adjustments to our operational setup in order to participate in ATH’s various yield generating protocols. The upgrades and protocol changes may require that we incur unanticipated costs and could cause temporary service disruptions to the Aethir network. We also need to engage additional third-party service providers in our operations, which may introduce risks outside of our control, including significant cybersecurity risks. Additionally, if we stake our digital assets, those assets may be subject to lock-up or illiquidity periods during which they cannot be transferred or sold. This may materially reduce our immediate access to liquidity and could adversely affect our ability to meet operational requirements or respond to adverse market conditions. Any of these operational risks could materially and adversely affect our ability to execute our Treasury Strategy and may prevent us from realizing positive returns and could severely hurt our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ATH holdings enhances the risks inherent in our Aethir-focused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purchased and intend to purchase ATH and increase our overall holdings of ATH in the future. The intended concentration of our ATH holdings limits the risk mitigation that we could achieve if we were to purchase a more diversified portfolio of treasury assets, and the absence of diversification enhances the risks inherent in our Aethir-focused strategy. The price of ATH has experienced a significant decline in recent periods, from a high of $0.067072 on September 17, 2025, to a price of $0.004919 on February 6, 2026, and any similar future significant declines in the price of ATH could have a more pronounced impact on our financial condition than if we used our cash to purchase a more diverse portfolio of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ATH is highly volatile and unpredictable, and fluctuations in the price of ATH will directly affect our reported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ATH has experienced extreme price volatility since its launch and may continue to do so. The price of ATH may be influenced by a wide range of factors, many of which are beyond our control, including: general cryptocurrency market sentiment; macroeconomic conditions such as inflation, interest rates, and risk appetite; regulatory announcements or enforcement actions targeting digital assets or cryptocurrency exchanges; the volume and liquidity of ATH trading on cryptocurrency exchanges; actual or perceived competition from other digital asset projects or GPU compute networks; developments within the Aethir ecosystem, including upgrades, partnerships, or technical failures; and large-scale sales of ATH by significant holders. Because we account for our ATH holdings at fair value under ASU 2023-08, with changes in fair value recognized in net income each reporting period, significant declines in the price of ATH will produce substantial non-cash losses in our financial statements that are wholly unrelated to our operational performance, and significant increases in the price of ATH will produce non-cash gains. These fair value fluctuations may make our financial results difficult to predict and period-to-period comparisons unreliable. Investors should not rely on any single reporting period’s results as indicative of our underlying business performance. A sustained decline in the price of ATH could have a material adverse effect on our financial condition, liquidity, and results of operations, and could require us to raise additional capital on unfavorable terms or curtail our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ATH may have limited liquidity, which could impair our ability to sell ATH holdings at favorable prices or at all, particularly when market conditions are adverse.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ATH trades on a limited number of cryptocurrency exchanges and may not benefit from the depth of liquidity available to larger, more established digital assets such as Bitcoin or Ethereum. The total market capitalization of ATH may be significantly smaller, and average daily trading volumes may be lower, than major cryptocurrencies, increasing the risk that large selling activity — including any disposal of ATH by us or our Asset Manager — could materially depress the market price of ATH and result in proceeds substantially below the fair value reflected on our balance sheet. Additionally, a significant portion of our ATH holdings are locked and subject to vesting and/or transfer restrictions, which further limits our ability to liquidate positions rapidly in response to adverse price movements or liquidity needs. During periods of market stress or exchange outages, liquidity for ATH could effectively disappear entirely, preventing us from selling or transferring ATH at any price. If we are unable to sell ATH at anticipated prices or within anticipated timeframes, our ability to fund operations and meet financial obligations could be materially and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ATH is correlated with broader cryptocurrency market conditions and macroeconomic factors outside our control, and adverse developments in the broader digital asset market may disproportionately harm our financial position.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Digital assets, including ATH, do not trade in isolation. Historically, the prices of digital assets have shown significant correlation with one another, particularly during periods of market stress. A broad-based decline in cryptocurrency markets — including declines in the price of Bitcoin or Ethereum — has historically resulted in widespread declines across all digital assets, including those with distinct underlying use cases such as ATH. Such correlated declines may occur regardless of the specific performance or developments within the Aethir ecosystem. Macroeconomic factors that may trigger broad cryptocurrency market selloffs include, without limitation: increases in interest rates or tightening of monetary policy; banking sector stress or credit market disruptions; negative regulatory developments, including exchange enforcement actions or restrictions on cryptocurrency trading in major markets; geopolitical instability; and shifts in institutional investor sentiment toward risk assets. Because our treasury is concentrated in ATH rather than a diversified portfolio of assets, any such broad-based market decline is likely to have a disproportionate adverse impact on the value of our treasury assets compared to companies that hold diversified or more liquid asset portfolios. This correlation risk, combined with the concentrated and partially illiquid nature of our ATH holdings, significantly amplifies our exposure to macroeconomic and market-wide risks.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Aethir network is disrupted or encounters any unanticipated difficulties or otherwise does not perform as expected, fails or experiences any other adverse consequences, the value of ATH could be negatively impacted.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Aethir network is disrupted or encounters any unanticipated difficulties, then the processing of transactions on the Aethir network may be disrupted, which in turn may prevent us from depositing or withdrawing ATH from our accounts with our custodian or otherwise affecting ATH transactions. Such disruptions could include, for example: the insolvency, business failure, interruption, default, failure to perform, security breach, or other problems of participants, custodians, or others; the closing of ATH trading platforms due to fraud, failures, security breaches or otherwise; or network outages or congestion, power outages, or other problems or disruptions affecting the Aethir network. The implementation of material network upgrades could result in unintentional degradation of performance. Any disruption of the Aethir network could materially impact the operation of the Aethir network, resulting in our inability to transfer or sell ATH, and could adversely impact the price of ATH.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the market for Graphics Processing Unit (GPU) hosting services grows, we anticipate that competition among providers of GPU hosting will intensify, potentially affecting the Aethir network. Similarly, if the market for GPU hosting services does not grow as anticipated, the Aethir network could be adversely affected. Any diminution in the value of the Aither network GPU-as-a-Service business could adversely impact the price of ATH and result in our inability to transfer or sell ATH.</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ATH and other digital assets are novel assets, and are subject to significant legal, commercial, regulatory and technical uncertainty, which could materially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position, operations and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ATH and other digital assets, as well as applications on networks such as Aethir, are relatively novel and are subject to significant uncertainty, which could adversely impact their price. The application of state and federal securities laws and other laws and regulations to digital assets and blockchain-based applications is unclear in certain respects, and it is possible that regulators in the United States or foreign countries may interpret or apply existing laws and regulations in a manner that adversely affects the price of ATH or other digital assets, or the ability of blockchain-native applications to operate.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federal government, states, regulatory agencies, and foreign countries or regulatory jurisdictions may also enact new laws and regulations, or pursue regulatory, legislative, enforcement or judicial actions, that could materially impact the price of ATH or the ability of individuals or institutions such as us to own or transfer ATH and utilize blockchain-based applications on networks such as Aethir. For example, the U.S. executive branch, the SEC, the European Union’s Markets in Crypto Assets Regulation, among others, have been active in recent years, and in the United Kingdom, the Financial Services and Markets Act 2023, or FSMA 2023, became law. It is not possible to predict whether, or when, any of these developments will lead to the U.S. Congress granting additional authorities to the SEC, Commodity Futures Trading Commission (“CFTC”), or other regulators, or whether, or when, any other federal, state or foreign legislative or regulatory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ATH specifically. The consequences of increased regulation of digital assets and digital asset activities could adversely affect the market price or liquidity of ATH and in turn adversely affect the market price of our common stock and our financial condition and results of operations.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ATH in particular, may also impact the price of ATH and is subject to a high degree of uncertainty. The pace of worldwide growth in the adoption and use of the Aethir network and ATH may depend, for instance, on public familiarity with digital assets, ease of buying, accessing or gaining exposure to ATH, institutional demand for ATH as an investment asset, the participation of traditional financial institutions and compute power providers in the digital assets industry, consumer and business demand for ATH as a means of payment, and the availability and popularity of alternatives to ATH. Even if growth in ATH adoption occurs in the near or medium-term, there is no assurance that ATH and Aethir network usage will continue to grow over the long term.</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ATH tokens have no physical existence beyond the record of transactions on the layer 1 blockchains, a variety of technical factors related to the Aethir network could also impact the price of ATH. For example, malicious attacks against the network and related applications, difficulties with upgrades to the ATH network, and advances in computing technology could undercut the integrity of the ATH network and negatively affect the price of ATH. The liquidity of ATH may also be reduced and damage to the public perception of Aethir may occur if financial institutions were to deny or limit banking services to businesses that hold ATH, provide Aethir-related services or accept ATH as payment, which could also decrease the price of ATH. Additionally, any failure to properly monitor and upgrade the Aethir network could adversely affect the Aethir network and negatively affect the price of ATH.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liquidity of ATH may also be impacted to the extent that changes in applicable laws and regulatory requirements negatively impact the ability of exchanges and trading venues to provide services for ATH and other digital assets.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Treasury Strategy, we expect to interact with various smart contracts deployed on the Aethir network, which may expose us to risks and technical vulnerabilities.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Treasury Strategy, including staking and other decentralized finance and decentralized compute activities, we expect to interact with various smart contracts deployed on the Aethir network in order to optimize our strategy and generate income. Smart contracts are self-executing code that operate without human intervention once deployed. Although smart contracts are integral to the functionality of the Aethir Network, they are subject to many known risks such as technical vulnerabilities, coding errors, security flaws, and exploitation attacks. Any vulnerability in a smart contract we interact with could result in the loss or theft of ATH or other digital assets, which could have a materially adverse impact on our business. In addition, certain smart contracts are upgradable or subject to certain governance controls which could result in unforeseen code errors, asset or account freezing, or the loss of digital assets. A vulnerability in a smart contract could create an unintended and unforeseeable consequence that has adverse financial consequences, such as the loss of or inability to access funds. There is no agreed upon framework for third-party assurance that the smart contracts we integrate with or rely upon will function as intended or remain secure. Exploitation of such vulnerabilities could have a material adverse effect on our business and financial condition.</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Advances in AI model efficiency could reduce demand for GPU compute, adversely affecting the Aethir network and the value of our compute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key driver of demand for GPU compute is the scale required to train and run AI models, where greater computational resources have historically produced more capable models. However, consistent advances in AI model efficiency — such as new architectures, training techniques, or algorithmic improvements that achieve equivalent or superior results using significantly less compute — could substantially reduce demand for raw GPU compute capacity. For example, if model developers are able to achieve frontier AI capabilities with materially fewer GPUs, the near-term demand forecasts underpinning current data center investment and GPU pricing could prove overstated. A significant and sustained reduction in GPU compute demand could adversely affect the utilization of the Aethir network, the demand for compute services we offer through that network, and consequently the value of our ATH treasury holdings. Such developments could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tensions and trade restrictions, particularly between the United States and China, could disrupt GPU supply chains and limit our addressable market.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GPU compute market depends heavily on complex international supply chains, including semiconductor manufacturing concentrated in Taiwan and South Korea, and significant end-market demand in China and other regions that are subject to evolving trade restrictions. Geopolitical tensions between the United States and China have already resulted in restrictions on the export of advanced semiconductors, including certain NVIDIA GPU products, to China. Further escalation of such restrictions, retaliatory trade actions, or broader geopolitical instability could disrupt GPU supply chains, increase the cost or lead times of GPUs, limit the markets in which compute services may be offered, and create regulatory uncertainty for companies operating distributed compute networks such as Aethir. Any such disruptions could materially and adversely affect our compute business and our ability to execute our strategy.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energy and environmental demands of data centers and GPU compute infrastructure may constrain the growth of the compute market and result in increased regulatory costs or operational limitations.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Data centers are significant consumers of electrical power. According to McKinsey &amp; Company (2025), data centers were responsible for over 5% of total U.S. energy consumption in 2025, a figure expected to approximately double within the next five years as AI workloads proliferate. This level of energy consumption has attracted increasing scrutiny from regulators, utilities, and environmental groups, and may result in additional restrictions, permitting requirements, carbon reporting obligations, or energy surcharges that increase the cost of GPU compute infrastructure. Constraints on available power capacity in key data center markets may limit the ability of compute providers to expand capacity in response to demand. Additionally, reputational and ESG concerns relating to the energy footprint of AI compute infrastructure could adversely affect our business relationships and access to capital. Although we operate through the Aethir distributed network rather than owning data centers directly, these energy constraints affect the broader ecosystem on which our compute business depends.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GPU compute is highly concentrated among a small number of large technology companies and governments, and any reduction in their expenditures could have a disproportionate adverse effect on the compute market and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substantial portion of current and projected demand for GPU compute infrastructure is driven by a small number of large technology companies — including Google, Amazon, Microsoft, Meta, and Apple — as well as government-sponsored AI programs. According to industry estimates, these organizations collectively spend hundreds of billions of dollars annually on AI infrastructure, and the United States government alone has announced a $500 billion commitment to AI infrastructure investment. This concentration of demand means that any significant reduction in capital expenditure by these organizations — whether driven by macroeconomic conditions, shifting strategic priorities, regulatory constraints, or technological developments that reduce their need for external compute — could have a disproportionately negative impact on the broader GPU compute market, including demand for compute services offered through decentralized networks such as Aethir. A slowdown in enterprise and government AI infrastructure spending could materially and adversely affect our compute business and the value of our ATH treasury holdings.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Part of our future business strategy may include acquisitions and investments in companies with Aethir-focused or blockchain strategies, and there are risks associated with the integration of any assets or operations acquired and our ability to manage those risks. In addition, we may be unable to make attractive acquisitions or successfully integrate acquired businesses, assets or properties, and any inability to do so may disrupt our business and hinder our ability to grow.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pursue a strategy focused on both ATH accumulation and future acquisitions. Accordingly, in the future we may make acquisitions of businesses or assets that we expect to complement or expand our current assets. However, we may not be able to identify attractive acquisition opportunities in the future. Even if we do identify attractive acquisition opportunities, we may not be able to complete the acquisition or do so on commercially acceptable terms. No assurance can be given that we will be able to identify additional suitable acquisition opportunities, negotiate acceptable terms, obtain financing for acquisitions on acceptable terms or successfully acquire identified targets.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any acquisition will depend on our ability to integrate effectively the acquired business or asset into our existing operations. The process of integrating acquired businesses and assets may involve unforeseen difficulties and may require a disproportionate amount of our managerial and financial resources. The integration of acquisitions is a complex, costly and time-consuming process, and our management may face significant challenges in such process. Some of the factors affecting integration will be outside of our control, and any one of them could result in increased costs and diversion of management’s time and energy, as well as decreases in the amount of expected revenue.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achieve consolidation savings, to incorporate the acquired businesses and assets into our existing operations successfully or to minimize any unforeseen operational difficulties could have a material and adverse effect on our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ability to achieve the objectives of our business strategy depends in significant part on our ability to obtain equity and debt financing. If we are unable to obtain equity or debt financing on favorable terms or at all, we may not be able to successfully execute on our business strategy.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interpretations could require us to register as a money services business or money transmitter, leading to increased compliance costs or operational shutdowns.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regulatory regime for digital assets in the U.S. and elsewhere is uncertain. The Company may be unable to effectively react to proposed legislation and regulation of digital assets, which could adversely affect its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regulatory changes or interpretations require us to register as a money services business with The Financial Crimes Enforcement Network (FinCEN) under the U.S. Bank Secrecy Act, or as a money transmitter under state laws, we may be subject to extensive regulatory requirements, resulting in significant compliance costs and operational burdens. In such a case, we may incur extraordinary expenses to meet these requirements or, alternatively, may determine that continued operations are not viable. If we decide to cease certain operations in response to new regulatory obligations, such actions could occur at a time that is unfavorable to investors.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Multiple states have implemented or proposed regulatory frameworks for digital asset businesses, and digital asset regulation continues to be a focus of foreign regulatory bodies, notably in the European Union. Compliance with such jurisdiction-specific regulations may increase costs or impact our business operations. Further, if we or our service providers are unable to comply with evolving federal, state or foreign regulations, we may be forced to dissolve or liquidate certain operations, which could materially impact our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our Legacy Business may not be completed on favorable terms, or at all, which could adversely affect our business and financial condition.</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actively engaged in a process to sell our Legacy Business operated through Helomics Holding Corporation (“Helomics”). There can be no assurance that this process will result in a completed transaction, that any transaction will be completed on a timely basis, or that the terms of any transaction will be favorable to the Company or its stockholders. The process may be affected by a number of factors outside our control, including the availability of financing for potential buyers, market conditions, regulatory requirements, competing transactions, and the due diligence findings of prospective purchasers. If the sale process is prolonged or unsuccessful, we will continue to incur the costs of operating the Helomics business, which could divert management attention and financial resources from our compute business. Even if a sale is completed, the proceeds may be less than the carrying value of the Helomics assets on our balance sheet, which could result in an impairment charge or loss on sale that adversely affects our reported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Helomics business may experience disruption during the sale process, which could reduce its value and adversely affect our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announcement and ongoing conduct of a sale process for the Helomics business may create uncertainty among Helomics employees, customers, and suppliers, which could result in the loss of key Helomics personnel, cancellation or non-renewal of customer contracts, or deterioration of supplier relationships. Any such disruption could reduce the operating performance and value of the Helomics business, which could reduce the proceeds we receive in a sale transaction or make it more difficult to complete the sale. In addition, management time and attention devoted to the Helomics sale process may detract from the Company’s ability to execute on its Axe Compute business strategy.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indemnification obligations, or transition costs in connection with the sale of the Helomics business that could adversely affect our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definitive agreement for the sale of the Helomics business is likely to include representations, warranties, and indemnification obligations that could expose us to liability after the closing of a sale transaction. We may also be required to provide transition services to the buyer following closing, which could require the dedication of management time and resources. In addition, the Helomics business may have liabilities that are not identified prior to the closing of a sale, including environmental liabilities, employment claims, or regulatory compliance matters, some of which we may retain following the sale. Any retained or assumed liabilities, indemnification claims, or transition service obligations could have a material adverse effect on our financial condition and results of operations following the divestiture.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 Factors Related to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interpretations could require us to register as a money services business or money transmitter, leading to increased compliance costs or operational shutdowns.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regulatory regime for digital assets in the U.S. and elsewhere is uncertain. The Company may be unable to effectively react to proposed legislation and regulation of digital assets, which could adversely affect its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regulatory changes or interpretations require us to register as a money services business with The Financial Crimes Enforcement Network (FinCEN) under the U.S. Bank Secrecy Act, or as a money transmitter under state laws, we may be subject to extensive regulatory requirements, resulting in significant compliance costs and operational burdens. In such a case, we may incur extraordinary expenses to meet these requirements or, alternatively, may determine that continued operations are not viable. If we decide to cease certain operations in response to new regulatory obligations, such actions could occur at a time that is unfavorable to investors.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Multiple states have implemented or proposed regulatory frameworks for digital asset businesses, and digital asset regulation continues to be a focus of foreign regulatory bodies, notably in the European Union. Compliance with such jurisdiction-specific regulations may increase costs or impact our business operations. Further, if we or our service providers are unable to comply with evolving federal, state or foreign regulations, we may be forced to dissolve or liquidate certain operations, which could materially impact our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Securities Markets and Ownership of Our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provides that, to the fullest extent permitted by law, the Court of Chancery of the State of Delaware will be the exclusive forum for certain legal actions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judicial forum viewed by the stockholders as more favorable for disputes with us or our directors, officers, or employees.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financial condition, and results of operations. Even if we are successful in defending against these claims, litigation could result in substantial costs and be a distraction to our management team.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the Nasdaq Capital Market, which delisting could hinder your ability to obtain accurate quotations on the price of our common stock or dispose of our common stock in the secondary market.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2022, we received a letter from the Listing Qualifications Department of Nasdaq (the “Staff”) informing us that because the closing bid price for our common stock listed on Nasdaq was below $1.00 for 30 consecutive trading days, we did not comply with the minimum closing bid price requirement for continued listing under Nasdaq Listing Rule 5550(a)(2), requiring a minimum bid price of $1.00 per share (the “Minimum Bid Price Requirement”). The letter stated that we had 180 days, or until November 9, 2022, to regain compliance by maintaining a closing bid price of at least $1.00 for a minimum of 10 consecutive trading days. This deadline was subsequently extended by Nasdaq to May 8,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23, 2023, we effected a 20-for-1 reverse stock split to cure this deficiency. As a result, our stock price increased significantly, and we regained compliance with the Minimum Bid Price Requirement.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 subsequent decline in our stock price, on September 19, 2024, we received another letter from the Staff informing us that did not meet the Minimum Bid Price Requirement. The letter stated that we had 180 days, or until March 18, 2025, to regain compliance by maintaining a closing bid price of at least $1.00 for a minimum of 10 consecutive trading days. We have regained compliance with the Minimum Bid Price Requirement, as since January 3, 2025, our stock price has traded above the minimum requirement.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20, 2024, we received a letter from the Listing Qualifications Department of Nasdaq (the “Staff”) notifying us that we were not in compliance with the minimum stockholders’ equity requirement for continued listing as set forth in Nasdaq Listing Rule 5550(b)(1) (the “Stockholders’ Equity Requirement”), because our stockholders’ equity of $1,966,969, as reported in our Quarterly Report on Form 10-Q for the quarterly period ended September 30, 2024, was below the required minimum of $2.5 million, and because, as of the date of the notice, we did not meet either of the alternative compliance standards, relating to market value of listed securities of at least $35 million or net income from continuing operations of $500,000 in the most recently completed fiscal year or in two of the last three most recently completed fiscal years. Under Nasdaq rules and as specified in the notice, we had until Monday, January 6, 2025 to submit to Nasdaq a plan to regain compliance with the Stockholders’ Equity Requirement and we submitted our plan on January 6, 2025, citing the Company’s then proposed merger with Renovaro, and requested a 180-day extension to regain compliance with the Stockholders’ Equity Requirement. As a result of the termination of negotiations with Renovaro, we were unable to complete the previously submitted plan.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2025, we received a letter from the Staff notifying us that because the Company had not regained compliance with the Stockholders’ Equity Requirement, the Staff determined to delist the Company’s securities from The Nasdaq Capital Market. On June 11, 2025, we submitted a hearing request to Nasdaq’s Hearings Panel (the “Panel”), which stayed the suspension of the Company’s securities and the filing of the Form 25-NSE pending the Panel’s decision. On June 12, 2025, we were notified that the Panel agreed to consider our appeal at an oral hearing, which the Panel scheduled for July 17,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2025, we received a letter from the Staff informing us that because the closing bid price for our common stock listed on Nasdaq was below $1.00 for 30 consecutive trading days, we did not comply with the minimum closing bid price requirement for continued listing under Nasdaq Listing Rule 5550(a)(2), requiring a minimum bid price of $1.00 per share (the “Minimum Bid Price Requirement”). The notification had no immediate effect on the listing of the Company’s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2025, we attended an oral hearing with the Panel, where we presented plans for coming into compliance with the continued listing standards, which included, but were not limited to, continued sales of common stock pursuant to our at-the-market offering, sales of common stock pursuant to the SEPA, expanding availability of our live cell ChemoFx drug response assay and business collaborations, as well as a potential reverse stock split. We also requested an exception from the continued listing standards through December 8, 2025, to provide us the ability to evidence compliance with the standards.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we were notified by Nasdaq that the Panel had granted our request for continued listing on The Nasdaq Capital Market pursuant to an extension through December 8, 2025, to demonstrate compliance with all continued listing requirements, including the Stockholders’ Equity Requirement and Minimum Bid Price Requirement.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2025, we completed the Reverse Stock Split, which was effective for trading purposes on September 30, 2025. As a result, our stock price increased significantly, and we regained compliance with the Minimum Bid Price Requirement as confirmed by the Staff via a letter dated October 14,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 2025, we announced that we received notice from Nasdaq confirming that we had regained compliance with the minimum stockholders’ equity requirement under Nasdaq Listing Rule 5550(b)(1), allowing our common stock to continue trading on the Nasdaq Capital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actions we have taken to satisfy the terms of the Panel’s decisions related to the Stockholders’ Equity Requirement, refer to the heading above titled “Recent Developments - September 2025 Private Placements” containing details regarding the private placements that closed in October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assurances that we will be able to comply with the Nasdaq requirements for continued listing in the future. In the event our common stock is delisted from the Nasdaq Capital Market and we are also unable to maintain listing on another alternate exchange, trading in our common stock could thereafter be conducted through one or more over-the-counter markets.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subsequently fail to meet any of the requirements for continued listing on Nasdaq, we could be delisted.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our common stock is delisted from the Nasdaq Capital Market and we are also unable to maintain listing on another alternate exchange, trading in our common stock could thereafter be conducted through one or more over-the-counter markets.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director and officer liability and indemnification of our officers and directors by us may discourage stockholders from bringing a suit against a director.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that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as a result of future equity offerings.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offer additional shares of our common stock or other securities convertible into or exchangeable for our common stock. Although no assurances can be given that we will consummate a future financing, in the event we do, or in the event we sell shares of common stock or other securities convertible into shares of our common stock in the future, additional and potentially substantial dilution could occur. See the Risk Factor titled “</w:t>
      </w:r>
      <w:r>
        <w:rPr>
          <w:rFonts w:ascii="Times New Roman" w:cs="Times New Roman" w:eastAsia="Times New Roman" w:hAnsi="Times New Roman"/>
          <w:sz w:val="18"/>
          <w:szCs w:val="18"/>
          <w:i w:val="1"/>
          <w:iCs w:val="1"/>
          <w:color w:val="auto"/>
        </w:rPr>
        <w:t>There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substantial doubt about our ability to continue as a going concern. We require significant additional funding to maintain operations and implement our business plan. the financing we have obtained to date has been dilutive, and any additional financing, if available, may also be dilutive.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Discussion and Analysis of Financial Condition and Results of Operations section of this Annual Report on Form 10-K for information regarding recent equity offerings.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1,623,179 warrants to purchase Common Stock outstanding at a weighted average exercise price of $17.39 per share. We are able to grant stock options, restricted stock, restricted stock units, stock appreciation rights, bonus stock, and performance awards under our 2024 Equity Incentive Plan (the “2024 Plan”), which was approved by our stockholders on December 30, 2024 (“Effective Date”) as a successor to our Amended and Restated 2012 Stock Incentive Plan (the “2012 Plan”). The 2024 Plan authorizes 1,000,000 shares of Common Stock for issuance, plus the number of shares subject to outstanding awards under the 2012 Plan as of the Effective Date that are forfeited, expire or otherwise terminate without the issuance of shares after the Effective Date. At December 31, 2025, 43,595 shares of Common Stock were issuable under outstanding incentive awards under the 2012 Plan. Additionally, the Company had 16,119,095 pre-funded warrants outstanding. The exercise of outstanding instruments, and issuance of equity awards may have a dilutive effect on our stock, and negatively impact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the market.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for the foreseeable future, and we may never pay dividends; investors must rely on stock appreciation, if any, for any return on investment in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considering various factors, including but not limited to, our financial condition, operating results, cash needs, growth plans, and the terms of any credit agreements that we may be a party to at the time. In addition, our ability to pay dividends on our common stock is limited by the Delaware General Corporation Law, which provides that dividends may only be lawfully paid out of a corporation’s “surplus,” which is generally defined as the amount by which total assets exceed total liabilities. Accordingly, investors must rely on sales of their common stock after price appreciation, which may never occur, and the availability of a liquid trading market in our shares as the only way to realize certain returns on their investment.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issue undesignated preferred stock and the existence of anti-takeover provisions may depress the value of our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authorized capital includes 20 million shares of preferred stock. Of this amount, 2,300,000 shares have been designated as Series B Convertible Preferred Stock, of which 79,246 shares were outstanding as of the date of this report.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will depend on several factors, including those described in this “Risk Factors” section, many of which are beyond our control and may not be related to our operating performance. These fluctuations could cause you to lose all or part of your investment in our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harm our operations, lead to a decline in revenue and increase our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could be disrupted by political and/or civil unrest, acts of war or other military actions, such as recent and ongoing conflicts in Iran and other Middle Eastern countries and Ukraine, epidemics or pandemics, such as a potential resurgence of the COVID-19 pandemic, and other natural or man-made disasters and catastrophic events. Geopolitical and domestic political developments and other events beyond our control, can increase economic volatility globally and disrupt supply chains we rely on. Our operations could be harmed and our costs could increase if manufacturing, logistics or other operations are disrupted for any reason, including economic, business, labor, environmental, public health, or political issues. We monitor and act as necessary to mitigate potential risks of shortages and delays that may impact our ability to obtain new contracts, fulfill product demands and meet our contract obligations. The extent to which business disruptions may impact our financial condition and results of operations remains uncertain and is dependent on numerous evolving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technical personnel, sales and marketing personnel, and other skilled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 The Company previously performed a Section 382 analysis as of December 31, 2023, and updated the analysis in the year ended December 31, 2025, which resulted in the limitation and expiration of a substantial portion of the Company’s loss carryforwards. In addition, the current net operating loss (“NOL”) carryforwards might be further limited by future issuances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incurred because we are a public company may affect our profitability.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risks that could result in adverse changes to operating results, cash flows, and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desire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stockholders’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could be reduced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may expose us to operational challenges and risks, including:</w:t>
      </w:r>
    </w:p>
    <w:p>
      <w:pPr>
        <w:spacing w:after="0" w:line="225" w:lineRule="exact"/>
        <w:rPr>
          <w:sz w:val="20"/>
          <w:szCs w:val="20"/>
          <w:color w:val="auto"/>
        </w:rPr>
      </w:pPr>
    </w:p>
    <w:p>
      <w:pPr>
        <w:ind w:left="660" w:right="6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manage acquired businesses or successfully integrate the operations of acquired businesses, as well as the acquired business’s financial reporting and accounting control systems into our existing platforms;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indebtedness and contingent purchase price obligations associated with an acquisition;</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fund cash flow shortages that may occur if anticipated revenue is not realized or is delayed, whether by general economic or market conditions, or unforeseen internal difficulties;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funding sufficient to meet increased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existing operations;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or hire qualified personnel required for expanded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Also, the indemnification granted by sellers of acquired companies may not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requires that we collect and store sensitive data, including protected health and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are susceptible to attacks by hackers or viruses, or otherwise may be breached due to employee error, malfeasance, or other activities. We have experienced cybersecurity attacks and incidents in the past, though we do not believe that any of them have been material to our business. If a cybersecurity attack or breach were to occur, it could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damaging our reputation, and subjecting us to litigation or fines and penalties, any of which could adversely affect our business. In addition, the interpretation and application of consumer, health-related, and general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many of our employees have the ability to work remotely, which may increase the risk of security breaches, loss of data, and other disruptions as a consequence of more employees accessing sensitive and critical information from remote locations.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and communications systems fail or we experience a significant interruption in our operations, our reputation, business, and results of operations could be materially and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recognizes the critical importance of maintaining the trust and confidence of our customers, clients, business partners and employees. The Board exercises oversight of our risk management program, and cybersecurity represents an important component of our overall approach to enterprise risk management (“ERM”). Our cybersecurity policies, standards, processes, and practices are integrated into our ERM program and are based on frameworks established by the National Institute of Standards and Technology (“NIST”) and other applicable industry standards.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critical elements of our overall ERM approach, our cybersecurity program is focused on the following key areas: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left="660" w:right="4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under the heading “Governance,” the Board maintains an active role concerning cybersecurity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including oversight of the Company’s employee personnel with extensive experience in the field.</w:t>
      </w:r>
    </w:p>
    <w:p>
      <w:pPr>
        <w:spacing w:after="0" w:line="15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and Risk Management Processes. </w:t>
      </w:r>
      <w:r>
        <w:rPr>
          <w:rFonts w:ascii="Times New Roman" w:cs="Times New Roman" w:eastAsia="Times New Roman" w:hAnsi="Times New Roman"/>
          <w:sz w:val="18"/>
          <w:szCs w:val="18"/>
          <w:color w:val="auto"/>
        </w:rPr>
        <w:t>We have implemented a risk management framework to identify, evaluate, and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risks. This framework includes the deployment of tools to detect potential threats, the maintenance of detailed incident logs, and the development of risk mitigation strategies. Our cybersecurity measures and policies are subject to regular testing and continuous improvement to adapt to new threats as they arise.</w:t>
      </w:r>
    </w:p>
    <w:p>
      <w:pPr>
        <w:spacing w:after="0" w:line="176" w:lineRule="exact"/>
        <w:rPr>
          <w:rFonts w:ascii="Times New Roman" w:cs="Times New Roman" w:eastAsia="Times New Roman" w:hAnsi="Times New Roman"/>
          <w:sz w:val="18"/>
          <w:szCs w:val="18"/>
          <w:color w:val="auto"/>
        </w:rPr>
      </w:pPr>
    </w:p>
    <w:p>
      <w:pPr>
        <w:ind w:left="660" w:right="5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Incident Reporting. </w:t>
      </w:r>
      <w:r>
        <w:rPr>
          <w:rFonts w:ascii="Times New Roman" w:cs="Times New Roman" w:eastAsia="Times New Roman" w:hAnsi="Times New Roman"/>
          <w:sz w:val="18"/>
          <w:szCs w:val="18"/>
          <w:color w:val="auto"/>
        </w:rPr>
        <w:t>We have instituted a company-wide security awareness training program to educate employees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risks and their role in maintaining our security posture. Continuous education and testing support our workforce in remaining knowledgeable and vigilant to cybersecurity threats. Employees are instructed to report all cybersecurity concerns directly to our internal information technology (“IT”) team for immediate assessment and response.</w:t>
      </w:r>
    </w:p>
    <w:p>
      <w:pPr>
        <w:spacing w:after="0" w:line="176"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Cybersecurity Incident Response Plan. </w:t>
      </w:r>
      <w:r>
        <w:rPr>
          <w:rFonts w:ascii="Times New Roman" w:cs="Times New Roman" w:eastAsia="Times New Roman" w:hAnsi="Times New Roman"/>
          <w:sz w:val="18"/>
          <w:szCs w:val="18"/>
          <w:color w:val="auto"/>
        </w:rPr>
        <w:t>We maintain a comprehensive incident response plan designed to mitigate the impact of a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 This plan includes protocols for internal response, external communication, and remediation efforts to minimize the impact on our operations and stakeholders.</w:t>
      </w:r>
    </w:p>
    <w:p>
      <w:pPr>
        <w:spacing w:after="0" w:line="170"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We maintain a risk-based approach to identifying and overseeing cybersecurity risks presented by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vendors, service providers and other external users of our systems, as well as the systems of third parties that could adversely impact our business in the event of a cybersecurity incident affecting those third-party systems.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engage in the periodic assessment and testing of our policies, standards, processes, and practices that are designed to address cybersecurity threats and incidents. These efforts include a range of activities, including audits, assessments, vulnerability testing, and other exercises focused on evaluating the effectiveness of our cybersecurity measures and planning. We engage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Board, and we adjust our cybersecurity policies, standards, processes, and practices as necessary based on the information provided by these assessments, audits, and reviews.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oversees the Company’s ERM process, including the management of risks arising from cybersecurity threats. The Board receives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also receives prompt and timely information regarding any cybersecurity incident that meets established reporting thresholds, as well as ongoing updates regarding any such incident until it has been addressed.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Senior Director of IT and Cybersecurity, in coordination with our executive officers, work collaboratively across the Company to implement a program designed to protect the Company’s information systems from cybersecurity threats and to promptly respond to any cybersecurity incidents in accordance with the Company’s incident response plan. To facilitate the Company’s cybersecurity risk management program, the Company’s internal IT team is deployed to work with business functions across the Company to address cybersecurity threats and to respond to cybersecurity incidents. The Senior Director of IT and Cybersecurity, as leader of the internal IT team, monitors the prevention, detection, mitigation, and remediation of cybersecurity threats and incidents in real time, and reports such threats and incidents to the executive officers and Board when appropriate.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Director of IT and Cybersecurity has served in various roles in information technology and information security for more than two decades with a track record of managing systems compliant with relevant security standards. The Senior Director of IT and Cybersecurity has industry experience and education aligned with the Company’s work and the data we maintain. The Senior Director of IT and Cybersecurity’s expertise is complemented by that of the Company’s CEO and CFO, each with degrees in their respective fields and extensive leadership experience including experience managing risks at similar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Such risks have not materially affected us, including our business strategy, results of operations or financial condition, to date. For more information about the cybersecurity risks we face, see the risk factor entitled “</w:t>
      </w:r>
      <w:r>
        <w:rPr>
          <w:rFonts w:ascii="Times New Roman" w:cs="Times New Roman" w:eastAsia="Times New Roman" w:hAnsi="Times New Roman"/>
          <w:sz w:val="18"/>
          <w:szCs w:val="18"/>
          <w:i w:val="1"/>
          <w:iCs w:val="1"/>
          <w:color w:val="auto"/>
        </w:rPr>
        <w:t>Security breaches,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r>
        <w:rPr>
          <w:rFonts w:ascii="Times New Roman" w:cs="Times New Roman" w:eastAsia="Times New Roman" w:hAnsi="Times New Roman"/>
          <w:sz w:val="18"/>
          <w:szCs w:val="18"/>
          <w:color w:val="auto"/>
        </w:rPr>
        <w:t>” in Item 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offices are in Pittsburgh, Pennsylvania. We have leases for office and laboratory space that are effective through February 29, 2028.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current space will be adequate for our current office and laboratory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can be found in Note 9, Contingencies, to the consolidated financial statements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12, 2025 our common stock was listed on the NASDAQ Capital Market under the symbol “AGPU”. From June 13, 2019 to December 11, 2025, our common stock was listed on the NASDAQ Capital Market under the symbol “POAI”. From February 2, 2018 to June 12, 2019, our common stock was listed on the NASDAQ Capital Market under the symbol “AIPT”. Prior to February 2, 2018, our common stock was listed on The NASDAQ Capital Market under the symbol “SKLN”.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approximately 171 stockholders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follow a policy of retaining earnings, if any, to finance the expansion of our business. We have not paid, nor do we expect to declare or pay,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Axe Compute Inc. is a technology company focused on providing high-performance computing infrastructure for artificial intelligence workloads by enabling enterprise access to large-scale GPU capacity through the decentralized Aethir network. The company plans to operate as an infrastructure provider that secures compute resources, including bare-metal GPUs, through digital assets tied to AI infrastructure and deploys those resources to enterprise customers under service agreements to support AI model training and production workloads. Axe Compute emerged from the rebranding of the Company’s Legacy Business and continues to operate certain AI-driven drug discovery activities developed by the Legacy Business while shifting its strategic focus toward scalable compute infrastructure and digital asset-enabled access to distributed GPU networks. As part of this transition, the company is evaluating strategic alternatives for non-core assets of the Legacy Business, including its Helomics biobank business, which contains a large collection of oncology research materials and historical drug response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Compute Industry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embarked upon this direction because the global compute market represents a significant and rapidly growing commercial opportunity. According to Research and Markets (2026), the global compute market is estimated to be valued at over $1 trillion in 2026, with a compound annual growth rate of approximately 9.9%, and is expected to nearly double in value by 2032. When focused specifically on AI-related computing services, many forecasters estimate growth rates exceeding 30% annually, with the AI compute market anticipated to reach a total value in excess of $1 trillion by 2034 (Cognitive Market Research; Statifacts, 2025). McKinsey &amp; Company estimated in 2025 that over 50% of all data center capacity was already dedicated to AI workloads, an amount they expect to grow by a factor of 3.5 times by 2030, and that approximately $6.7 trillion will be spent on data centers globally between 2025 and 2030, of which approximately 65.7% will be GPU-related. Gartner estimates worldwide AI spending will total $2.5 trillion in 2026 alone. Despite this unprecedented level of investment, demand continues to significantly outpace supply: as of early 2026, North American data center vacancy rates reached a record low of 1.6%, data center demand increased 24% in 2025, and average lead times for data center GPUs stand at 36 to 52 weeks (CBRE Investment Management, 2026). The Company believes this supply-demand imbalance creates a significant opportunity for its GPU compute business, which operates through the Aethir network to provide distributed GPU compute capacity for AI and other high-performance computing workloads.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ATH Treasury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2025, the Company announced the launch of its Treasury Strategy focused on ATH. Aethir is a leading decentralized physical infrastructure network developed by DCI, that provides a decentralized GPU network, connecting producers and consumers of GPU compute power at enterprise scale, supporting applications such as artificial intelligence computation, gaming and cloud workloads.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Treasury Strategy, the Company intends to continue acquiring additional ATH in the open market and to earn yield on its ATH treasury holdings by engaging in ATH staking and other activities. As a holder of ATH, the Company accrues unrealized gains or losses from any appreciation or depreciation, as applicable, in the value of ATH tokens, which trade on various cryptocurrency exchanges.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is focusing its resources on the Treasury Strategy, and a significant portion of the Company’s balance sheet will be allocated to holding ATH pursuant to its Treasury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Treasury Strategy is primarily dedicated to ATH, and the Company does not intend to allocate treasury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Treasury Strategy is intended to bring value to its stockholders through the following: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proceeds from equity and debt financings to purchase and hold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the majority of the ATH in the Company’s treasury to earn a staking yield and turn the treasury into a productive asset;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locked ATH at a discount to the current spot price;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the Company’s ATH holdings, whether on the open market, through block trades, or other negotiated transactions, for various reasons and at various times, including, in order to fund its working capital and general corporate needs.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Axe Compute also continues to operate its Legacy Business, which is designed to support the discovery and development of optimal cancer therapies. In the Legacy Business, the Company uses AI and its proprietary biobank of 150,000+ tumor samples, categorized by tumor type, to provide actionable insights about drug compounds to improve the drug discovery process and increase the probability of drug compound success. The Company also creates and develops tumor-specific 3D cell culture models mimicking the physiological environment of human tissue, enabling better-informed decision-making during drug development. In February 2026, the Company announced that it is exploring strategic alternatives for this oncology drug discovery solutions business, but the Company’s Board of Directors has not committed to a specific course of action. Accordingly, the oncology drug discovery solutions business did not meet the criteria under FASB ASC 205-20, Discontinued Operations to be classified as discontinued operations and held for sale, and therefore is reflected as continuing operations within these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ATH and the Aethir Network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Listed on June 12, 2024, ATH is the native cryptocurrency of the Aethir network. It is a core component of the Aethir ecosystem, serving as the primary medium of exchange for transactions within the network. There is a fixed, total supply of 42 billion ATH tokens.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Functions of ATH:</w:t>
      </w:r>
    </w:p>
    <w:p>
      <w:pPr>
        <w:spacing w:after="0" w:line="225" w:lineRule="exact"/>
        <w:rPr>
          <w:sz w:val="20"/>
          <w:szCs w:val="20"/>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Payments - ATH is used to pay for various services on the Aethir network, such as renting GPU resources for AI applications, cloud gaming, and other computational tasks.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 ATH holders have the right to participate in the governance of the Aethir network by voting on proposals and decisions that affect the future of the platform.</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 Users can stake their ATH tokens to support the security and operation of the network, and in return, they earn rewards in the form of additional ATH tokens.</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Quality Assurance - ATH is used to incentivize participants in the network to maintain the security and quality of the services provided.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our business segments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laws and regulations applicable to ATH and other digital assets are evolving and subject to interpretation and change.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Governments around the world have reacted differently to digital assets. Certain governments have deemed them illegal, and others have allowed their use and trade without restriction, while in some jurisdictions, such as the U.S., digital assets are subject to overlapping, uncertain and evolving regulatory requirements.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the U.S. Executive Branch, Congress and a number of U.S. federal and state agencies, including the Financial Crimes Enforcement Network, the Commodity Futures Trading Commission (“</w:t>
      </w: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the SEC, the Financial Industry Regulatory Authority, the Consumer Financial Protection Bureau, the Department of Justice, the Department of Homeland Security, the Federal Bureau of Investigation, the IRS, and state financial regulators, have been examining the operations of digital asset networks, digital asset users and digital asset exchanges, with particular focus on the extent to which digital assets can be used to violate state or federal laws, including to facilitate the laundering of proceeds of illegal activities or the funding of criminal or terrorist enterprises, and the safety and soundness and consumer-protective safeguards of exchanges or other service-providers that hold, transfer, trade or exchange digital assets for users. Many of these state and federal agencies have issued consumer advisories regarding the risks posed by digital assets to investors. In addition, federal and state agencies, and other countries have issued rules or guidance regarding the treatment of digital asset transactions and requirements for businesses engaged in activities related to digital assets.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the regulatory characterization of ATH, the markets for ATH and cryptocurrency in general, and our activities in particular, our business and inter-connectivity with Aethir may be subject to regulation by one or more regulators in the United States and globally. Ongoing and future regulatory actions may alter, to a materially adverse extent, the nature of digital assets markets, the participation of industry participants, including service providers and financial institutions in these markets, and our ability to pursue our business strategy utilizing Aethir. Additionally, U.S. state and federal and foreign regulators and legislatures have taken action against industry participants, including digital assets businesses, and enacted restrictive regimes in response to adverse publicity arising from hacks, consumer harm, or criminal activity stemming from digital assets activity.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CFTC takes the position that some digital assets fall within the definition of a “</w:t>
      </w:r>
      <w:r>
        <w:rPr>
          <w:rFonts w:ascii="Times New Roman" w:cs="Times New Roman" w:eastAsia="Times New Roman" w:hAnsi="Times New Roman"/>
          <w:sz w:val="18"/>
          <w:szCs w:val="18"/>
          <w:u w:val="single" w:color="auto"/>
          <w:color w:val="auto"/>
        </w:rPr>
        <w:t>commodity</w:t>
      </w:r>
      <w:r>
        <w:rPr>
          <w:rFonts w:ascii="Times New Roman" w:cs="Times New Roman" w:eastAsia="Times New Roman" w:hAnsi="Times New Roman"/>
          <w:sz w:val="18"/>
          <w:szCs w:val="18"/>
          <w:color w:val="auto"/>
        </w:rPr>
        <w:t>” under the Commodities Exchange Act of 1936, as amended (the “</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 commodities that do not utilize margin, leverage, or financing. In addition, CFTC regulations and CFTC oversight and enforcement authority apply with respect to futures, swaps, other derivative products and certain retail leveraged commodity transactions involving digital asset commodities, including the markets on which these products trade.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The SEC and its staff have taken the position that certain other digital assets fall within the definition of a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under the U.S. federal securities laws. Public statements made by senior officials and senior members of the staff at the SEC indicate that the SEC does not consider specific digital assets, like Bitcoin, to be a security under the federal securities laws. However, such statements are not official policy statements by the SEC and reflect only the speakers’ views, which are not binding on the SEC or any other agency or court and cannot be generalized to any other digital assets.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because transactions in ATH provide a degree of anonymity, they are susceptible to misuse for criminal activities, such as money laundering. This misuse, or the perception of such misuse, could lead to greater regulatory oversight of ATH and Aethir networks, and there is the possibility that law enforcement agencies could close or blacklist such Aethir networks or other Aethir-related infrastructure with little or no notice and prevent users from accessing or retrieving ATH held via such platforms or infrastructure. For example, the U.S. Treasury Department’s Office of Foreign Assets Control has issued updated advisories regarding the use of virtual currencies, added a number of digital asset exchanges and service providers to the Specially Designated Nationals and Blocked Persons list and engaged in several enforcement actions, including a series of enforcement actions that have either shut down or significantly curtailed the operations of several smaller digital asset exchanges associated with Russian and/or North Korean nationals. Additionally, in January 2025, the Consumer Financial Protection Bureau announced that it is seeking public input on privacy protections and surveillance in digital payments, particularly those offered through large technology platforms.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activities involving ATH and other digital assets may fall within the jurisdiction of more than one financial regulator and various courts and such laws and regulations are rapidly evolving and increasing in scope. In the U.S., regulation on stablecoins was recently signed into U.S. federal law through the GENIUS Act which established the first comprehensive regulatory framework specifically for “</w:t>
      </w:r>
      <w:r>
        <w:rPr>
          <w:rFonts w:ascii="Times New Roman" w:cs="Times New Roman" w:eastAsia="Times New Roman" w:hAnsi="Times New Roman"/>
          <w:sz w:val="18"/>
          <w:szCs w:val="18"/>
          <w:u w:val="single" w:color="auto"/>
          <w:color w:val="auto"/>
        </w:rPr>
        <w:t>payment stablecoins</w:t>
      </w:r>
      <w:r>
        <w:rPr>
          <w:rFonts w:ascii="Times New Roman" w:cs="Times New Roman" w:eastAsia="Times New Roman" w:hAnsi="Times New Roman"/>
          <w:sz w:val="18"/>
          <w:szCs w:val="18"/>
          <w:color w:val="auto"/>
        </w:rPr>
        <w:t>” - digital assets designed to maintain a stable value pegged to a fiat currency (typically the U.S. dollar) and intended for use in payments or transfers. The GENIUS Act aims to foster innovation in the stablecoin sector while ensuring financial stability, consumer protection, and compliance with anti-money laundering standards.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landscape for digital assets continues to evolve rapidly across different jurisdictions, and we may become subject to new laws and regulations that could materially affect our business operations, compliance obligations, and financial performance. For a comprehensive discussion of the risks that existing and future regulations pose to our business, including specific regulatory developments that may materially affect our operations, see the section entitled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the Company completed the sale of assets related to its wholly owned subsidiary, Skyline Medical Inc., to DeRoyal Industries, Inc., a global manufacturer and supplier of medical products. Skyline Medical produced the FDA-cleared STREAMWAY System and associated products for automated medical fluid waste management and patient-to-drain medical fluid disposal and was previously classified as the Company’s Eagan operating segment.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19, 2025, the Company’s stockholders approved a one-for-fifteen (1-for-15) reverse stock split of the Company’s common stock, which became effective at 12:01 a.m. on Tuesday, September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On October 8, 2025, the Company announced the closing of two previously announced private investment in public equity transactions (“PIPEs”) totaling approximately $343.5 million to support the Company’s adoption of a digital asset treasury strategy focused on ATH, the native utility token of the Aethir ecosystem. The Company raised an aggregate of approximately $343.5 million in the PIPEs from the purchase and sale of (i) an aggregate of approximately 4.4 million shares of common stock (or pre-funded warrants to purchase shares of common stock in lieu thereof) for a purchase price of $11.6265 per share (the “Offering Price”) of common stock (or per pre-funded warrant in lieu thereof) for aggregate cash gross proceeds of approximately $50.8 million (the “Cash PIPE”), and (ii) pre-funded warrants to purchase up to approximately 14.9 million shares of common stock for a purchase price of $11.6165 per pre-funded warrant in exchange for approximately $292.7 million in notional value representing approximately $173.3 million in discounted value of in-kind contributions of locked and unlocked ATH (the “Crypto PIPE”). The pre-funded warrants issued in the Crypto PIPE became exercisable immediately following the Company’s receipt of shareholder approval for the exercise of such pre-funded warrants. The PIPEs closed concurrently on October 7, 2025. The Company has used the cash and in-kind contribution of ATH to fund the Company’s digital asset treasury strategy as well as for working capital and general corporate purposes.</w:t>
      </w: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 2025, we received formal notice from the Nasdaq Hearings Panel (the “Panel”) of The Nasdaq Stock Market LLC (“Nasdaq”) notifying us that we were in compliance with the stockholders’ equity requirement set forth in Nasdaq Listing Rule 5550(b)(1) (the “Stockholders’ Equity Requirement”). Accordingly, the previously disclosed listing matter has been closed. Nasdaq’s notice further stated that pursuant to Listing Rule 5815(d)(4) (B), the Company will be subject to a mandatory panel monitor for a period of one year from December 1, 2025. If, within that one-year monitoring period, the Nasdaq Listing Qualification Staff (the “Staff”) finds the Company again out of compliance with the Stockholders’ Equity Requirement, notwithstanding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Nasdaq Listing Rule 5810(c)(3). Instead, the Staff will issue a delist determination letter and the Company will have an opportunity to request a new hearing with the initial Panel or a newly convened hearings panel if the initial Panel is unavailable.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11, 2025, we changed our corporate name from Predictive Oncology Inc. to Axe Compute Inc. following the filing of a Certificate of Amendment to our Certificate of Incorporation with the Secretary of State of the State of Delaware (the “Name Change”). Beginning on December 12, 2025, our common stock began trading on the Nasdaq Capital Market under the ticker symbol “AGPU.” In connection with the Name Change, we announced an expansion of our business strategy to include high-performance enterprise artificial intelligence infrastructure. Our historical oncology drug discovery and biomedical research operations, or Legacy Business, includes our AI-driven tumor drug-response prediction platforms, proprietary tumor biobank and related laboratory and biomarker testing services, and were developed under our prior Predictive Oncology business model. We intend to evaluate opportunities for the Legacy Business, including the potential use of the data assets and predictive models developed through those operations in connection with our expanded artificial intelligence infrastructure strategy.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6, 2026, our Board voted to terminate, without cause, the employment of Raymond F. Vennare as Chief Executive Officer, effective February 9, 2026. Mr. Vennare also resigned as Chairman and a member of the Board effective the same date. In connection with his termination, Mr. Vennare entered into a separation agreement providing for severance and other benefits. The Board appointed Chuck Nuzum, an existing member of the Board, as Chairman effective February 9, 2026. In addition, the Board appointed Christopher Miglino as Chief Executive Officer and as a member of the Board effective February 9, 2026. In connection with his appointment, we entered into an employment agreement with Mr. Miglino and granted him stock options to purchase 500,000 shares of our common stock as an inducement award.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2026, we announced that we engaged Cardiff Advisory LLC to assist in exploring strategic alternatives for our Legacy Business. The strategic review process, which is being conducted under the oversight of our Board, may include a potential sale, partnership, licensing arrangement, joint venture or other transaction involving the Company’s biobank platform and related operations. The review reflects our continued focus on advancing our artificial intelligence compute infrastructure strategy while evaluating opportunities to maximize value from non-core legacy assets. There can be no assurance that the strategic review process will result in any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2026, we announced that our Board appointed Dr. Theodore Zhu and Thorsten Dirks as members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we have been unprofitable. For the year ended December 31, 2025, our cash used in continuing operations was $9.876,039 and for the year ended December 31, 2024, was $10,103,084. We incurred losses from continuing operations of $232,853,647 and $10,224,655 for the years ended December 31, 2025, and December 31, 2024, respectively. As of December 31, 2025, and December 31, 2024, we had an accumulated deficit of $413,521,474 and $180,426,271,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generated sufficient revenues to fund our capital requirements. We have funded our operations through a variety of debt and equity instruments. Since 2023, we have monetized certain assets and curtailed expenses. In September 2025, we adopted the Treasury Strategy, providing new sources of capital and creating additional capital needs. See “Liquidity and Capital Resources - Liquidity and Plan of Financing” and “Liquidity and Capital Resources - Financing Transactions”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approximately $10.8 million of cash and cash equivalents. Additionally, the Company has significant holdings in ATH digital assets that serve as potential sources of liquidity for the Company. However, management notes the market price has exhibited substantial volatility over the trailing 3-, 6-, and 9-month periods and acknowledges that ATH prices are subject to rapid fluctuations due to a myriad of factors including market sentiment, regulatory developments, network adoption, Aethir Foundation governance decisions, and broader crypto-asset market conditions.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sources of liquidity could include the Company’s ATM facility, of which $18.3 million remains available pursuant to the prospectus supplement filed on October 29, 2025, and the SEPA facility against which the Company could sell $10 million of shares of its common stock, each subject to certain limitations and conditions associated with the respective facilities.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cash requirements and the adequacy of available funds depend on our ability to generate income from our compute services and Treasury Strategy, and the availability of future financing to fulfill our business plans. Management expects operating losses to continue in the near term while the Company scales its compute services and Treasury Strategy. See “Liquidity and Capital Resources - Liquidity and Plan of Financing” below. Our recent strategic pivot into compute services and adoption of the Treasury Strategy make prediction of future operating results difficult. We believe that period-to-period comparisons of our operating results should not be relied on as predictive of our future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Comparison of Year Ended December 31, 2025, with Year Ended December 31, 2024</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4"/>
                <w:szCs w:val="24"/>
                <w:color w:val="auto"/>
              </w:rPr>
            </w:pPr>
          </w:p>
        </w:tc>
        <w:tc>
          <w:tcPr>
            <w:tcW w:w="12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125,284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84,812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40,472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digital assets</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(152,490,550)</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(152,490,550)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72,622</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78,285</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25,924,358</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7,235,797</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(18,688,561)</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2,147,222</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2,241,461</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94,239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406,247</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833,199</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426,952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gain (loss)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(180,915,715)</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(10,303,930)</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(170,611,785)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(51,937,932)</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79,275</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(52,017,207)</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(232,853,647)</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(10,224,655)</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(222,628,992)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(241,556)</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(2,439,733)</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2,198,177</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(233,095,203)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(220,430,815)</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recorded revenue of $125,284 in 2025, compared to $84,812 in 2024. Revenues for the years ended December 31, 2025, and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from the Drug Discovery Services business. The increase in revenue from the comparative period was primarily due to completion of a tumor-specific 3D model in the 2025 period, which was not present in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Gains (losses) on digital assets. </w:t>
      </w:r>
      <w:r>
        <w:rPr>
          <w:rFonts w:ascii="Times New Roman" w:cs="Times New Roman" w:eastAsia="Times New Roman" w:hAnsi="Times New Roman"/>
          <w:sz w:val="18"/>
          <w:szCs w:val="18"/>
          <w:color w:val="auto"/>
        </w:rPr>
        <w:t>We recorded a loss on digital assets of $152,490,550 in the year ended December 31,2025, with no such losses recorded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comparative period. The losses in the 2025 period are derived from the losses on digital assets. This primarily represents the change in fair value of the Company’s ATH holdings, which were not present in the comparative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was $72,622 and $78,285 for the years ended December 31, 2025, and 2024, respectively. Cost of revenues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was relatively flat from the comparative period in 2024.</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primarily consist of management salaries, professional fees, consulting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office rents, and general office expenses. General and administrative expenses increased by $18,688,561 to $25,924,358 in 2025 from $7,235,797 in 2024. The increase was primarily due to an increase in stock-based compensation for employees and non-employees of $16.5 million, $15.4 million of which relates to warrants issued as compensation pursuant to the Strategic Advisor Agreement in connection with the Company’s Treasury Strategy, and an increase in professional service fees of $1.0 million. The Company incurred additional professional service fees in the current year in conjunction with the adoption of the Treasury Strategy.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primarily consist of expenses related to product development, prototyping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Research and development expenses decreased by $94,239 to $2,147,222 in 2025 compared to $2,241,461 in 2024. Research and development expenses were largely unchanged from the comparative period in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of expenses required to market and sell our products. Sales and marketing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$426,952 to $406,247 in 2025 compared to $833,199 in 2024. The decrease in 2025 was primarily due to there no longer being staff-related expenses for sales and marketing and severance expenses incurred in the year ended December 31,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 the year ended December 31, 2025, the Company incurred other expenses of $51,937,932, which primarily consists of a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change in the fair value of the derivative related to the Crypto PIPE. Comparatively, in the year ended December 31, 2024, the Company earned other income of $79,275, primarily consisting of interest income.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incurred zero income tax expense from continuing operations in 2025 and 2024 due to losses in both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2025, we had $10,790,850 in cash and cash equivalents. Cash and cash equivalents increased by $10,179,028 from the prior year due to the following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continuing operations was $9,876,039 in 2025, compared to $10,103,084 in 2024. Cash used in operating activities of continuing operations decreased in 2025 primarily due to lower cash operating losses and decreases in cash used in working capital. Changes in cash used in working capital included increases in accounts payable and accrued expenses, offset by a decrease in operating lease liability.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continuing operations was $32,616,819 in 2025, compared to $9,510 in 2024. Cash used in investing activities of continuing operations increased in 2025 due to digital asset purchases related to the Treasury Strategy adopted in the year ended December 31, 2025.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of continuing operations was $52,006,573 in 2025 compared to $3,939,194 in 2024. Cash provided by financing activities of continuing operations in 2025 was primarily related to the Cash PIPE Offering, related to proceeds from the exercise of warrants to purchase common stock, proceeds from the issuance of common stock pursuant to the ATM offering, proceeds from the issuance of common stock pursuant to the Extension Agreement with Renovaro, proceeds from the issuance of common stock pursuant to a Registered Direct Offering, and proceeds from private placements of common stock with accredited investors in May and August, while the cash provided in 2024 was primarily proceeds from the issuance of common stock pursuant to the ATM offering completed in May 2024 and proceeds from the exercise of warrants into common stock pursuant to the Warrant Inducement Transaction in July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(used in) discontinued operations was $542,462 in 2025, compared to $(1,820,587) in 2024. Net cash used in operating activities of discontinued operations was $82,538 and $1,852,587 for the years ended December 31, 2025, and 2024, respectively. This change primarily relates to decreased cash losses due to ceasing the discontinued operations. Net cash provided by investing activities of discontinued operations was $625,000 and $32,000 for the years ended December 31, 2025, and 2024, respectively. There was no cash provided by or used in financing activities of discontinued operations in either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Plan of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significant and recurring losses from operations for the past several years and, as of December 31, 2025, had an accumulated deficit of $413,521,474. We had cash and cash equivalents of $10,790,850 as of December 31, 2025. We had short-term obligations of $4,266,896 and long-term operating lease obligations of $904,495 as of December 31, 2025. During the year ended December 31, 2025, we incurred negative cash flows from continuing operating activities of 9,876,039.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the negative cash flows from continuing operating activities relates to the loss from continuing operations, which arose due to the large unrealized losses on digital assets that were recorded along with the loss on derivative instruments.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meet its short-term liquidity needs in the next twelve months, which are primarily comprised of working capital requirements, the Company has access to various sources of short-term liquidity including cash and cash equivalents and ATH tokens in its treasury. These include approximately 2.8 billion ATH tokens held as of December 31, 2025, and an additional 2.0 billion ATH tokens expected to vest over the subsequent twelve-month period. Although we do not anticipate needing to use our ATH to meet our short-term liquidity needs, to the extent necessary, we may seek to use proceeds from the sale of our ATH to meet such needs. Additional sources of liquidity could include the Company’s ATM facility and the SEPA facility, subject to certain limitations and conditions associated with the respective facilities.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the ATM facility to be a viable source of incremental liquidity during fiscal year 2026, subject to market conditions. Management does not assume immediate or full utilization of the ATM facility in its base-case liquidity forecast. Rather, ATM proceeds are considered a discretionary funding source that could be accessed opportunistically during periods of sufficient market liquidity and pricing stability. Based on current market conditions, management believes that any ATM issuances, if undertaken, would likely have potential to occur in the latter portion of fiscal year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Beyond the next twelve months, our long-term liquidity needs are primarily for obligations related to working capital requirements. Our ability to meet these needs and the adequacy of available funds depend on our ability to generate income from our compute services and Treasury Strategy, and the availability of future financing to fulfill our business plans. The Company will also have access to an additional 1.5 billion ATH tokens expected to vest beyond twelve months from December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notes that a significant portion of the Company’s liquidity is held in ATH, a digital asset, the market price of which has exhibited substantial volatility over the trailing 3-, 6-, and 9-month periods. Management acknowledges that ATH prices are subject to rapid fluctuations due to a myriad of factors including market sentiment, regulatory developments, network adoption, Aethir Foundation governance decisions, and broader crypto-asset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considered downside price scenarios in which the market price of ATH declines materially over the 12-month period following the balance sheet date. Under these scenarios, the U.S. dollar value of the Company’s ATH holdings available for liquidity purposes would be reduced, which has the potential to pressure the Company’s ability to fund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incorporated these possible scenarios when determining the Company’s liquidity, however, management believes the Company has access to sufficient alternative liquidity sources, as noted above, to weather adverse ATH market price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primarily funded our operations through a combination of debt and equity instruments including short-term borrowings, and a variety of debt and equity offerings. We have no off-balance sheet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18, 2025, we entered into a Securities Purchase Agreement (the “Purchase Agreement”) with several institutional and accredited investors for the sale by us of 24,223 shares (the “Registered Direct Offering Shares”) of our common stock, par value $0.01 per share, at a purchase price of $22.50 per share, in a registered direct offering. The offering closed on February 19, 2025. Our gross proceeds from the offering were approximately $545,000, before deducting the placement agent’s fees and other offering expenses. We offered and sold the Registered Direct Offering Shares pursuant to an effective shelf registration statement on Form S-3, which was filed with the SEC on May 21, 2024, and subsequently declared effective on May 21, 2024 (File No. 333-279123), and a related prospectus supplement filed on February 19,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agreed to pay Wainwright, as placement agent, an aggregate fee equal to 7.0% of the gross proceeds we received from the sale of the securities in the offering as well as a management fee equal to 1.0% of such gross proceeds, and $15,000 for fees and expenses of legal counsel. We also issued to Wainwright, or its designees, warrants to purchase up to 7.0% of the aggregate number of shares of our common stock sold in the transactions, or warrants to purchase up to an aggregate of 1,698 shares of our common stock (the “Registered Direct Offering Placement Agent Warrants”). The Registered Direct Offering Placement Agent Warrants are exercisable for five years from the commencement of sales in the offering and have an exercise price equal to 125% of the purchase price of shares of our common stock sold in the offering, or $28.13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Renovaro Subscription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2025, we executed a share subscription agreement with Renovaro, pursuant to the Extension Agreement dated February 28, 2025, that amended the previous LOI between the parties. Pursuant to the share subscription agreement, Renovaro subscribed to purchase and we agreed to sell 31,153 unregistered shares of our common stock at a price of $16.05 per share for a total purchase price of $500,000. The closing of this share issuance occurred on March 17,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May 2025 Private Placement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2025, we executed a share subscription agreement with an institutional and accredited investor for the sale, in a private placement, by the Company of 18,692 shares of our common stock at a price of $16.05 per share for a total purchase price of $300,000. The closing of this share issuance occurred on June 3,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 2024, we entered into an ATM Sales Agreement (the “Sales Agreement”) with Wainwright, pursuant to which we may offer and sell, from time to time, through Wainwright, shares of our common stock through an “at the market offering” program pursuant to which Wainwright will act as sales agent. Subject to the terms and conditions of the Sales Agreement, Wainwright is permitted to sell the shares by methods deemed to be an “at the market offering” as defined in Rule 415(a)(4) promulgated under the Securities Act of 1933, as amended. The Sales Agreement provides that Wainwright will be entitled to compensation for its services of 3.0% of the gross sales price of all shares sold through Wainwright under the Sales Agreement. We are subject to certain restrictions on our ability to offer and sell shares of our common stock under the Sales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2024, following execution of the Sales Agreement, we filed with the SEC a shelf registration statement on Form S-3 (the “May 2024 Shelf Registration Statement”). The May 2024 Shelf Registration Statement, as amended, was declared effective by the SEC on May 21, 2024 and included a prospectus supplement (the “Initial ATM Prospectus Supplement”) to the base prospectus related to the offering of up to $3,696,000 of shares of our common stock under the Sales Agreement. As of May 31, 2024, we had offered and sold 107,140 shares of common stock under the Initial ATM Prospectus Supplement for gross proceeds of approximately $3,696,000. The net proceeds from the shares offered and sold in May 2024, after deducting commissions and offering expenses, were approximately $3,122,000.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2025, in accordance with the terms of the Sales Agreement, we filed a prospectus supplement to the May 2024 Shelf Registration Statement relating to the offer and sale of up to an additional $1,491,000 of shares of our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2025, in accordance with the terms of the Sales Agreement, we determined to further increase the number of shares we may sell under the Sales Agreement, from the approximately $1,352,000 remaining as of May 31, 2025 up to an aggregate of $3,398,000, and we filed an additional prospectus supplement with the SEC on June 2,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2025, in accordance with the terms of the Sales Agreement, we determined to further increase the number of shares we may sell under the Sales Agreement, from the approximately $2,292,000 remaining as of September 30, 2025 up to an aggregate of $18,330,000, and we filed an additional prospectus supplement with the SEC on October 29,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approximately $18,330,000 remained available to us for sales of our common stock under the Sales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issued and sold 139,680 shares of common stock under the Sales Agreement resulting in net proceeds to the Company of approximately $1,530,000 after deducting approximately $342,000 in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2025, the Company entered into a standby equity purchase agreement (the “SEPA”) with YA II PN, LTD., a Cayman Islands exempt limited company (“Yorkville”). Pursuant to the SEPA, the Company has the right to sell to Yorkville up to $10 million in shares of its common stock,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In connection with the execution of the SEPA, the Company issued 8,033 shares of its common stock to Yorkville as consideration for its commitment to purchase the Company’s common stock pursuant to the SEPA.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but not the obligation, from time to time at its discretion until the first day of the month following the 36-month period after the date of the SEPA, to direct Yorkville to purchase a specified number of shares of the Company’s common stock (each such sale, an “Advance”) by delivering written notice to Yorkville (each, an “Advance Notice”). The per share purchase price for the shares of common stock, if any, that the Company elects to sell to Yorkville in an Advance pursuant to the SEPA will be determined by reference to the volume weighted average price of the Company’s common stock (the “VWAP”) and calculated in accordance with the SEPA, less a discount of 4.0%. The Company filed a registration statement on Form S-1 for the resale of up to 128,114 shares by Yorkville on July 18, 2025, which was declared effective by the SEC on July 28,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2025, the Company received approval from its stockholders to issue shares of its common stock to Yorkville under the SEPA in excess of 19.99% of the number of shares of common stock outstanding as of the date of the SEPA (the “Exchange Cap”). Yorkville is not obligated to purchase or acquire, and shall not purchase or acquire, any shares of common stock under the SEPA which, when aggregated with all other shares of the Company’s common stock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shares of the Company’s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sold no shares pursuant to the SEPA.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2025 Private Placement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26, 2025, we entered into a securities purchase agreement with an accredited investor pursuant to which we sold and issued 36,237 shares of our common stock, at a purchase price of $11.40 per share, in a private placement transaction. This issuance closed on August 26,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Private Placements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29, 2025, we entered into two securities purchase agreements, as further described above under “Recent Developments - September 2025 Private Placements.”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Cash PIPE Offering, we sold an aggregate of 4,366,703 shares of our common stock (or pre-funded warrants at a nominal $0.01 exercise price per share to purchase shares of common stock, in lieu thereof) to certain accredited investors for $11.6265 per share. Aggregate Cash PIPE Offering proceeds were $50.8 million before issuance fees and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Crypto PIPE, we sold the Crypto PIPE Warrants to purchase up to 14,903,393 shares of our common stock at a nominal $0.01 exercise price per share. As consideration for the Crypto PIPE Warrants, we received locked and unlocked ATH from purchasers with an aggregate notional value and discounted value of $292.7 million and $173.3 million, respectively. The September Private Placements closed on October 7,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audited consolidated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We evaluate our estimates and assumptions on an on-going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Notes to Consolidated Financial Statements of this Annual Report on Form 10-K. We believe that the following discussion addresses our critical accounting estimates and reflects those areas that require more significant judgments and use of estimates and assumptions in the preparation of our audited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Fair Value of Digital Asset Receivable</w:t>
      </w: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Digital asset receivable is a hybrid financial instrument containing an embedded derivative that must be bifurcated and remeasured at fair value each reporting period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there is no directly observable market for illiquid, contractually restricted ATH tokens subject to a time-based vesting schedule, the embedded derivative is classified as Level 3. The key unobservable input is the discount applied to reflect the lack of transferability and control during the restriction period. The fair value of this instrument is highly sensitive to changes in the market price of ATH and to changes in the assumed liquidity discount inputs, and materially different outcomes are reasonably possible if those assumptions were to change.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Digital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in Notes to Consolidated Financial Statements of this Annual Report on Form 10-K for further detail.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Fair Value of Derivative Instrument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Side Letter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the Side Letter with DCI Foundation as a derivative instrument. This classification requires judgment because the Side Letter contains multiple features whose combined economics cause the instrument to meet the derivative definition rather than to be assessed as an executory arrangement or a series of discrete transactions. The fair value of any outstanding Side Letter derivative is classified as Level 3 that incorporates unobservable inputs including expected open market purchase volumes, ATH forward prices, probability of timely delivery, and DCI’s counterparty credit risk. As of December 31, 2025, no derivative asset was outstanding because the Company had received all Bonus ATH due under the Side Letter for purchases made through year-end; however, the classification and measurement of this instrument in future periods will continue to require significant judgment as the Company’s Treasury Strategy and open market purchasing activity evolves.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Digital Assets</w:t>
      </w:r>
      <w:r>
        <w:rPr>
          <w:rFonts w:ascii="Times New Roman" w:cs="Times New Roman" w:eastAsia="Times New Roman" w:hAnsi="Times New Roman"/>
          <w:sz w:val="18"/>
          <w:szCs w:val="18"/>
          <w:color w:val="auto"/>
        </w:rPr>
        <w:t xml:space="preserve"> in Notes to Consolidated Financial Statements of this Annual Report on Form 10-K for further detail.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Fair Value of Derivative Instrument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Crypto SPA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Crypto SPA met the definition of a derivative in accordance with ASC 815, because the economic value of the arrangement was indexed to the USD price of ATH while requiring the issuance of a fixed number of shares. Accordingly, the Company recognized a derivative liability at fair value on September 29, 2025, and remeasured the liability through earnings until settlement on October 7,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derivative liability was estimated using a Monte Carlo simulation model designed to project the expected settlement value of the instrument as of the closing date. The fair value measurement required significant judgment due to the use of unobservable inputs, including expected volatility of ATH and the Company’s stock and the appropriate discount applied to restricted ATH holdings. Small changes in these assumptions, particularly volatility and ATH pricing, could have resulted in materially different fair value measurements.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inception through settlement, the fair value of the derivative liability decreased by approximately $52.7 million, and this change was recognized as a loss within “Gain (loss) on derivative instruments” in the consolidated statements of net loss. Upon settlement, the derivative liability was extinguished when investors tendered ATH and the Company issued warrants.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in Notes to Consolidated Financial Statements of this Annual Report on Form 10-K for further detail.</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generate revenues from Contract Research Organization (“CRO”) services related to the development of 3D tumor-specific in vitro models for oncology drug discovery and research. The specific pattern of revenue recognition for CRO services is determined on a case-by-case basis according to the facts and circumstances applicable to a given contract. We evaluate each product or service promised in a contract to determine whether it represents a distinct performance obligation. Determining whether services are considered distinct performance obligations that should be accounted for separately versus together may require significant judgment. Contracts for CRO services generally contain one performance obligation to perform research and deliver appropriate data or reporting. Revenues from CRO services are generally recognized at the point in time when data and reports are provided to customers.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Notes to Consolidated Financial Statements of this Annual Report on Form 10-K for further details of our revenue recognition policies.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have a collaboration arrangement, under which we have utilized our active learning technology, proprietary biobank, and know-how to provide predictive models of tumor responses to various drug compounds. This collaboration arrangement includes sales-based royalties, under which our collaboration partner is obligated to pay us revenue sharing fees that are based on the net revenue from the collaboration partner’s commercialized drugs. The percentage of net revenue varies depending on the stage of development. The revenue sharing fees represent variable consideration, which requires us to estimate the expected value of revenue sharing fees and extent to which those estimates are constrained. These estimates are reassessed at each reporting period. To date, we have not recognized revenues related to revenue sharing fees pursuant to our collaboration arrangement.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in Notes to Consolidated Financial Statements of this Annual Report on Form 10-K for further details of our collaboration arrangement.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under the fair value recognition and measurement provisions for share-based payments of U.S. GAAP. We recognize compensation expense for these service-based equity-classified awards over their requisite service period and adjust for forfeitures as they occur. We estimate the fair value of stock-based payment awards on the date of grant using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and the risk-free interest rate.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and the risk-free interest rate. In the case of options to employees, we estimated the life to be the legal term.</w:t>
      </w:r>
    </w:p>
    <w:p>
      <w:pPr>
        <w:sectPr>
          <w:pgSz w:w="11900" w:h="16838" w:orient="portrait"/>
          <w:cols w:equalWidth="0" w:num="1">
            <w:col w:w="11240"/>
          </w:cols>
          <w:pgMar w:left="320" w:top="794" w:right="339" w:bottom="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Changes in the assumptions can materially affect the estimate of fair value of stock-based compensation and, consequently, the related expense recognizes that. We have been traded on the NASDAQ Capital Market exchange since 2015 and have experienced significant volatility in our stock price. The assumptions we use in calculating the fair value of stock-based payment awards represent our best estimates, which involve inherent uncertainties and the application of management's judgment. As a result, if factors change and we use different assumptions, our stock-based compensation expense could be materially different in the future.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Notes to Consolidated Financial Statements of this Annual Report on Form 10-K for further details of our stock-based compensation.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Long-lived Asset Impairment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long-lived assets, including finite-lived intangible assets and long-lived tangible assets, for impairment whenever events or changes in circumstances indicate the carrying amount may not be recoverable. Identifying and evaluating such events or changes in circumstances involves judgment. Events or changes in circumstances that indicate the carrying amount may not be recoverable include, but are not limited to, a significant change in the medical device marketplace and a significant adverse change in the business climate in which we operate.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recoverability of an asset to be held and used is determined by comparing the carrying amount to the estimated undiscounted future cash flows expected to be generated by the asset. If the carrying amount of the asset exceeds its estimated undiscounted future cash flows, we record an impairment charge in the amount by which the carrying amount of the asset exceeds its fair value, which is determined by either a quoted market price, if any, or a value determined utilizing discounted cash flow techniques.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in Notes to Consolidated Financial Statements of this Annual Report on Form 10-K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Deferred income taxes are provided on a liability method, whereby deferred tax assets are recognized for deductible temporary differences and operating loss and tax credit carryforwards. Deferred tax liabilities are recognized for taxable temporary differences, which are the differences between the reported amounts of assets and liabilities and their tax bases. Deferred income taxes are subject to certain limitations under Section 382. Deferred tax assets are reduced by a valuation allowance when, in the opinion of management, it is more likely than not that some portion or all the deferred tax assets will not be realized. Deferred tax assets and liabilities are adjusted for the effects of changes in tax laws and rates on the date of enactment.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Notes to Consolidated Financial Statements of this Annual Report on Form 10-K for further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“Recent Accounting Pronouncements” and “Recently Adopted Accounting Standards” under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Notes to Consolidated Financial Statements of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and supplementary data are included beginning on pages F-1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of December 31, 2025. Based on that evaluation, our Chief Executive Officer and Chief Financial Officer concluded that our disclosure controls and procedures (as defined in Rules 13a-15(e) and 15d-15(e) under the Exchange Act) were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defined in Rule 13a-15(f) under the Securities Exchange Act of 1934) as of December 31, 2025 based on the criteria in “Internal Control - Integrated Framework (2013)” issued by the Committee of Sponsoring Organizations of the Treadway Commission (“COSO”) in 2013. Based upon this evaluation, we concluded that our internal control over financial reporting was effective as of December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rules of the SEC do not require, and this Annual Report on Form 10-K does not include, an attestation report of an independent registered public accounting firm regarding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Securities Exchange Act of 1934) during the three months ended December 31, 2025, that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the Registrant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identifies the individuals who serve as our executive officers and directors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 Held</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Miglino</w:t>
            </w:r>
          </w:p>
        </w:tc>
        <w:tc>
          <w:tcPr>
            <w:tcW w:w="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Chuck Nuzum</w:t>
            </w:r>
          </w:p>
        </w:tc>
        <w:tc>
          <w:tcPr>
            <w:tcW w:w="90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77</w:t>
            </w: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the Audit, Compensation and Nominating and Governance Committees</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Daniel E. Handley, Ph.D.</w:t>
            </w:r>
          </w:p>
        </w:tc>
        <w:tc>
          <w:tcPr>
            <w:tcW w:w="90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66</w:t>
            </w: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the Nominating and Governance Committee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Gregory S. St. Clair, Sr.</w:t>
            </w:r>
          </w:p>
        </w:tc>
        <w:tc>
          <w:tcPr>
            <w:tcW w:w="90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60</w:t>
            </w: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the Audit and Compensation Committees</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Zhu, Ph.D.</w:t>
            </w:r>
          </w:p>
        </w:tc>
        <w:tc>
          <w:tcPr>
            <w:tcW w:w="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66</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J. Hawryluk, Ph.D.</w:t>
            </w:r>
          </w:p>
        </w:tc>
        <w:tc>
          <w:tcPr>
            <w:tcW w:w="90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48</w:t>
            </w: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the Compensation Committees</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Thorsten Dirks</w:t>
            </w:r>
          </w:p>
        </w:tc>
        <w:tc>
          <w:tcPr>
            <w:tcW w:w="90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62</w:t>
            </w: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the Audit Committee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Christopher Miglino. </w:t>
      </w:r>
      <w:r>
        <w:rPr>
          <w:rFonts w:ascii="Times New Roman" w:cs="Times New Roman" w:eastAsia="Times New Roman" w:hAnsi="Times New Roman"/>
          <w:sz w:val="18"/>
          <w:szCs w:val="18"/>
          <w:color w:val="auto"/>
        </w:rPr>
        <w:t>has more than 25 years of experience building and operating public and private companies across technology, fintech, media,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assets. Since March 2010, Mr. Miglino has served and continues to serve as the Chief Executive Officer and Co-Founder of SRAX, Inc., a fintech and data company, where he led the company through its NASDAQ listing and multiple capital raises, and oversaw all SEC reporting and compliance obligations. During his tenure at SRAX, Mr. Miglino launched and later sold a pharmaceutical advertising division for approximately $50 million and built investor intelligence and communications SaaS platforms used by hundreds of public companies. From January 2024 to January 2026, Mr. Miglino served as President and Co-Founder of DNA Holdings Venture Inc., a blockchain and Web3-focused investment firm, where he oversaw fund operations, strategic partnerships, and capital deployment. Previously, Mr. Miglino founded Conscious Enlightenment, a multi-media company he sold to Gaiam (NASDAQ: GAIA) in 2007, and co-founded Centerlinq, an interactive kiosk and loyalty platform company he sold to a public company. Mr. Miglino holds a Bachelor of Science in Finance from the University of Southern California</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Josh Blacher. </w:t>
      </w:r>
      <w:r>
        <w:rPr>
          <w:rFonts w:ascii="Times New Roman" w:cs="Times New Roman" w:eastAsia="Times New Roman" w:hAnsi="Times New Roman"/>
          <w:sz w:val="18"/>
          <w:szCs w:val="18"/>
          <w:color w:val="auto"/>
        </w:rPr>
        <w:t>Mr. Blacher was appointed as our Chief Financial Officer effective September 30, 2023. Mr. Blacher has served as a consultant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Danforth Advisors, LLC since September 2022 and as Managing Partner of Columbus Circle Capital LLC (“Columbus Circle Capital”) since August 2019. During his tenure at Columbus Circle Capital, Mr. Blacher has served as CFO at several public and private companies. Prior to his tenure at Columbus Circle Capital, Mr. Blacher served as Chief Business Officer at Inmed Pharmaceuticals (Nasdaq: INM) from April 2018 to August 2019, as Chief Financial Officer of Therapix Biosciences (Nasdaq: TRPX) from April 2017 to April 2018, and as Chief Financial Officer at Galmed Pharmaceuticals (Nasdaq: GLMD) from October 2014 to March 2017. Mr. Blacher holds a Bachelor of Arts from Yeshiva University and a Master of Business Administration from Columbia Business School.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Daniel E. Handley M.S., Ph.D. </w:t>
      </w:r>
      <w:r>
        <w:rPr>
          <w:rFonts w:ascii="Times New Roman" w:cs="Times New Roman" w:eastAsia="Times New Roman" w:hAnsi="Times New Roman"/>
          <w:sz w:val="18"/>
          <w:szCs w:val="18"/>
          <w:color w:val="auto"/>
        </w:rPr>
        <w:t>Dr. Handley was appointed to the Board on February 19, 2020. Since April 15, 2019, he serves as a Professor and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Human Genetics and Genomics Graduate Education at Southern California University of Health Sciences, a 501(3) educational non-profit institution.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w:t>
      </w:r>
    </w:p>
    <w:p>
      <w:pPr>
        <w:spacing w:after="0" w:line="3" w:lineRule="exact"/>
        <w:rPr>
          <w:sz w:val="20"/>
          <w:szCs w:val="20"/>
          <w:color w:val="auto"/>
        </w:rPr>
      </w:pPr>
    </w:p>
    <w:p>
      <w:pPr>
        <w:jc w:val="both"/>
        <w:ind w:firstLine="8"/>
        <w:spacing w:after="0" w:line="253"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veteran of the U.S. Navy, having served as a nuclear propulsion instructor and a submarine nuclear reactor operator.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Chuck Nuzum. </w:t>
      </w:r>
      <w:r>
        <w:rPr>
          <w:rFonts w:ascii="Times New Roman" w:cs="Times New Roman" w:eastAsia="Times New Roman" w:hAnsi="Times New Roman"/>
          <w:sz w:val="18"/>
          <w:szCs w:val="18"/>
          <w:color w:val="auto"/>
        </w:rPr>
        <w:t>Mr. Nuzum was appointed to the Board on July 9, 2020, and subsequently appointed Chairman of the Board of Directors on February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He has extensive experience as a CFO that ranges from private start-ups to large publicly traded companies. Mr. Nuzum presently provides financial consulting services on a project basis to companies such as McKesson, BioMarin, AutoDesk and Squire Patton Boggs, a financial services company and a company employing advanced technology to construct affordable homes and mentors start-up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Gregory S. St. Clair, Sr. </w:t>
      </w:r>
      <w:r>
        <w:rPr>
          <w:rFonts w:ascii="Times New Roman" w:cs="Times New Roman" w:eastAsia="Times New Roman" w:hAnsi="Times New Roman"/>
          <w:sz w:val="18"/>
          <w:szCs w:val="18"/>
          <w:color w:val="auto"/>
        </w:rPr>
        <w:t>Mr. St. Clair was appointed to the Board on July 9, 2020. He is the Founder and Managing Member of SunStone Consulting,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healthcare consulting firm that has served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 Clair worked as a national vice president for CGI, ImrGlobal, and Orion Consulting and as national director for Coopers &amp; Lybrand. He holds a B.S. in Accounting and Finance from Juniata College in Huntington, Pennsylvania.</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Theodore Zhu, Ph.D. </w:t>
      </w:r>
      <w:r>
        <w:rPr>
          <w:rFonts w:ascii="Times New Roman" w:cs="Times New Roman" w:eastAsia="Times New Roman" w:hAnsi="Times New Roman"/>
          <w:sz w:val="18"/>
          <w:szCs w:val="18"/>
          <w:color w:val="auto"/>
        </w:rPr>
        <w:t>Dr. Zhu, has served as the Founder and Chairman of Iotelligent Technology since 2011, where he focuses on developing neural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network-based solutions for mobile Internet-of-Things applications. Dr. Zhu previously served as President and Chief Operating Officer of Celestial Semiconductor, where he led the turnaround of the fabless semiconductor and software company and oversaw its sale to Cavium Networks for $55 million in 2011. Earlier in his career, Dr. Zhu co-founded Jazz Semiconductor and served in several senior roles including Chief Marketing Officer, Vice President of Worldwide Sales, and China Operations, helping grow revenue significantly and playing a key role in the company’s IPO and subsequent sale to Acquicor Technology. Dr. Zhu has also held senior leadership and technical roles at BitShield Corporation, Conexant Systems, Honeywell, and Motorola, and started in academia as an Assistant Professor of Physics at Brown University. Dr. Zhu holds a Ph.D. in Solid State Physics from Purdue University and a B.S. in Physics from Shanghai Jiao Tong University, and is the author of numerous scientific publications and holder of more than 85 U.S. patents.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Matthew J. Hawryluk, Ph.D. </w:t>
      </w:r>
      <w:r>
        <w:rPr>
          <w:rFonts w:ascii="Times New Roman" w:cs="Times New Roman" w:eastAsia="Times New Roman" w:hAnsi="Times New Roman"/>
          <w:sz w:val="18"/>
          <w:szCs w:val="18"/>
          <w:color w:val="auto"/>
        </w:rPr>
        <w:t>Dr. Hawryluk was appointed to the Board on November 29, 2022 and was appointed to the Board as a Class II director.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Hawryluk has served as Chief Business Officer of Prime Medicine, Inc. (Nasdaq: PRME) since November 2025. Before joining Prime Medicine, Dr. Hawryluk served as Chief Business Officer at AIRNA Corporation from January 2025 to June 2025. Prior to AIRNA, Dr. Hawryluk served as Executive Vice President and Chief Business Officer of Gritstone bio, Inc. from November 2015 to December 2024.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Thorsten Dirks. </w:t>
      </w:r>
      <w:r>
        <w:rPr>
          <w:rFonts w:ascii="Times New Roman" w:cs="Times New Roman" w:eastAsia="Times New Roman" w:hAnsi="Times New Roman"/>
          <w:sz w:val="18"/>
          <w:szCs w:val="18"/>
          <w:color w:val="auto"/>
        </w:rPr>
        <w:t>Mr. Dirks, is a seasoned international executive with nineteen years of board-level experience, including approximately fifteen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Chief Executive Officer. Mr. Dirks has held senior leadership positions across the telecommunications and aviation industries, including Chief Executive Officer of E-Plus Group, Chief Executive Officer of Telefónica Deutschland, and Chief Executive Officer of Deutsche Glasfaser, an EQT portfolio company. He has also served as an Executive Board Member of Deutsche Lufthansa AG and KPN N.V., and as a member of the Group Executive Committee of Telefónica S.A.. Earlier in his career, Mr. Dirks held executive roles including Chief Technical Officer and Chief Operating Officer at KPN Mobile International and served as President of the BitKom. He is also a former officer in the German Air Force and has extensive experience in corporate transformation, mergers and acquisitions, post-merger integration, digitalization strategy, governance and compliance, and crisis management.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Our executive officers are appointed by our Board of Directors and serve at the Board’s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presently consists of seven directors. The size of the Board may be increased or decreased from time to time by resolution of the stockholders or the Board. Each director shall serve until his or her term expires, his or her earlier death, or a successor is elected and qualified or until the director resigns or is removed. Directors are elected by a plurality of votes cast at a meeting at which a quorum is present. Any vacancies may be filled by the vote of a majority of the Board of Directors, although less than a quorum, and any such person elected to fill a vacancy shall serve as a director for a term that coincides with the term of the class to which such director shall have been elected.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for the division of the members of our Board of Directors into three classes, with the term of each class expiring in different years. The term of our Class I directors expires in 2028, the term of our Class II directors expires in 2026, and the term of our Class III directors expires in 2027. The class of directors up for election or reelection will be elected to three-year terms. The current directors are divided into classes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II</w:t>
            </w:r>
          </w:p>
        </w:tc>
        <w:tc>
          <w:tcPr>
            <w:tcW w:w="10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III</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2028)</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2026)</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(term expiring in 2027)</w:t>
            </w:r>
          </w:p>
        </w:tc>
      </w:tr>
      <w:tr>
        <w:trPr>
          <w:trHeight w:val="191"/>
        </w:trPr>
        <w:tc>
          <w:tcPr>
            <w:tcW w:w="37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Chuck Nuzum</w:t>
            </w:r>
          </w:p>
        </w:tc>
        <w:tc>
          <w:tcPr>
            <w:tcW w:w="1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Matthew J. Hawryluk</w:t>
            </w:r>
          </w:p>
        </w:tc>
        <w:tc>
          <w:tcPr>
            <w:tcW w:w="100" w:type="dxa"/>
            <w:vAlign w:val="bottom"/>
            <w:shd w:val="clear" w:color="auto" w:fill="CCEEFF"/>
          </w:tcPr>
          <w:p>
            <w:pPr>
              <w:spacing w:after="0"/>
              <w:rPr>
                <w:sz w:val="16"/>
                <w:szCs w:val="16"/>
                <w:color w:val="auto"/>
              </w:rPr>
            </w:pPr>
          </w:p>
        </w:tc>
        <w:tc>
          <w:tcPr>
            <w:tcW w:w="37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Thorsten Dirks</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Daniel E. Handley</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Gregory S. St. Clair, Sr.</w:t>
            </w: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4"/>
        </w:trPr>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Theodore Zhu</w:t>
            </w: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Christopher Miglino is not assigned to a class, but was appointed to the Board to serve until the next annual meeting of stockholders and until his successor is duly elected and qualified or until his earlier resignation, removal, or death.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met five times in fiscal year 2025. All of our directors attended at least 75% of the meetings of the Board and committees on which they served.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 policy with respect to the attendance of directors at the Company’s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of the Board is responsible for reviewing candidates for Board membership consistent with the Committee’s criteria for selecting new directors or as recommended by our stockholders. Annually, the Committee recommends a slate of nominees to the Board for consideration at our annual stockholders’ meeting. The processes followed by the Nominating and Governance Committee are contained in the Committee charter, which is posted on our website. The Committee will consider candidates for the Board recommended by a stockholder, and its process and criteria for analyzing such a candidate do not differ from that applied when a candidate is recommended by another source. To submit a candidate for consideration for nomination, stockholders must submit such recommendation in writing to our Board Secretary, Mr. Nuzum, at 91 43rd Street, Suite 110, Pittsburgh, Pennsylvania 15201.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 standing Audit Committee, Compensation Committee, and Nominating and Governance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 as such committees are presently constituted.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Audit Committee Financial Expert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oversees the Company’s corporate accounting and financial reporting processes and audits of its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the Audit Committee, as governed by its charter, include, among other things:</w:t>
      </w:r>
    </w:p>
    <w:p>
      <w:pPr>
        <w:spacing w:after="0" w:line="225" w:lineRule="exact"/>
        <w:rPr>
          <w:sz w:val="20"/>
          <w:szCs w:val="20"/>
          <w:color w:val="auto"/>
        </w:rPr>
      </w:pPr>
    </w:p>
    <w:p>
      <w:pPr>
        <w:ind w:left="1040" w:hanging="317"/>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the Company’s financial reporting process and internal control system;</w:t>
      </w:r>
    </w:p>
    <w:p>
      <w:pPr>
        <w:spacing w:after="0" w:line="225" w:lineRule="exact"/>
        <w:rPr>
          <w:rFonts w:ascii="Times New Roman" w:cs="Times New Roman" w:eastAsia="Times New Roman" w:hAnsi="Times New Roman"/>
          <w:sz w:val="18"/>
          <w:szCs w:val="18"/>
          <w:color w:val="auto"/>
        </w:rPr>
      </w:pPr>
    </w:p>
    <w:p>
      <w:pPr>
        <w:ind w:left="1040" w:right="500" w:hanging="317"/>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75" w:lineRule="exact"/>
        <w:rPr>
          <w:rFonts w:ascii="Times New Roman" w:cs="Times New Roman" w:eastAsia="Times New Roman" w:hAnsi="Times New Roman"/>
          <w:sz w:val="18"/>
          <w:szCs w:val="18"/>
          <w:color w:val="auto"/>
        </w:rPr>
      </w:pPr>
    </w:p>
    <w:p>
      <w:pPr>
        <w:ind w:left="1040" w:right="780" w:hanging="317"/>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the independent auditors, financial and senior management, the internal auditing department, and the Board regarding the matters related to the committee’s responsibilities and duties.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Both our independent registered public accounting firm and management periodically meet privately with the Audit Committee. Our Audit Committee currently consists of Mr. Nuzum, as the chairperson, Mr. St. Clair, and Mr. Dirks. Each Audit Committee member is a non-employee director of the Board. The Board reviews the definition of independence for Audit Committee members under the applicable rules of the Nasdaq Stock Market (the “Nasdaq Rules”) on an annual basis and has determined that all current members of our Audit Committee meet the heightened independence requirements under applicable Nasdaq Rules and Rule 10A-3(b)(1) under the Exchange Act. The Board has determined that Mr. Nuzum meets the criteria as an “audit committee financial expert,” as defined in Item 407(d)(5)(ii) of Regulation S-K under the Securities Act of 1933, as amended, and that all members of the Audit Committee have the financial literacy required by the Nasdaq Rules. The Audit Committee met four times in fiscal year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three directors: Mr. Nuzum, as the chairperson, Mr. St. Clair and Dr. Hawryluk. All members of the Compensation Committee are “non-employee directors” for purposes of Rule 16b-3 under the Exchange Act and “independent directors,” as such term is defined by the Nasdaq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right="8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who served as such during the year ended December 31, 2025, has been an executive officer or employee of ours while serving on the Committee or had a relationship requiring disclosure under Item 404 of Regulation S-K promulgated under the Securities Exchange Act of 1934, as amended. None of our officers currently serves, or has served during the last completed year, on the Compensation Committee or the Board of any other entity that has one or more officers serving as a member of the Board or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currently consists of Dr. Handley, as the chairperson, and Mr. Nuzum. All members of the Nominating and Governance Committee are “independent directors,” as such term is defined by the Nasdaq Rules, and free from any relationship that, in the opinion of the Board, would interfere with the exercise of his or her independent judgment as a member of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its purpose, the Nominating and Governance Committee:</w:t>
      </w:r>
    </w:p>
    <w:p>
      <w:pPr>
        <w:spacing w:after="0" w:line="225" w:lineRule="exact"/>
        <w:rPr>
          <w:sz w:val="20"/>
          <w:szCs w:val="20"/>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composition, organization and governance of the Board, determines future requirements and make recommendations to the Board for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desired Board and committee skills and attributes and criteria for selecting new directors;</w:t>
      </w:r>
    </w:p>
    <w:p>
      <w:pPr>
        <w:spacing w:after="0" w:line="225" w:lineRule="exact"/>
        <w:rPr>
          <w:rFonts w:ascii="Times New Roman" w:cs="Times New Roman" w:eastAsia="Times New Roman" w:hAnsi="Times New Roman"/>
          <w:sz w:val="18"/>
          <w:szCs w:val="18"/>
          <w:color w:val="auto"/>
        </w:rPr>
      </w:pPr>
    </w:p>
    <w:p>
      <w:pPr>
        <w:ind w:left="660" w:right="520" w:hanging="328"/>
        <w:spacing w:after="0" w:line="312"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for, and consults with the Board regarding, management succession;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generally on corporate governance matters.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2025 and Forms 5 and amendments thereto filed with the SEC with respect to such fiscal year, or written representations that no Forms 5 were required, we believe that there were no instances where our officers, directors and greater than ten percent beneficial owners failed to file on a timely basis all Section 16(a) filing requirements during the fiscal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directors, officers (including our principal executive officer, principal financial officer, principal accounting officer or controller, and persons performing similar functions), and employees of the Company. Our Code of Ethics satisfies the requirements of Item 406(b) of Regulation S-K and is included as an exhibit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Incentive Compensation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Recoupment of Incentive Compensation Policy that applies to certain executive compensation in the event of an accounting restatement to correct a material error. Our policy satisfies the requirements as defined in Rule 5608(d) of the Nasdaq Marketplace Rules and is included as an exhibit to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Policy on Avoidance of Insider Trading, applicable to our directors, employees (including officers) and consultants, that we believe is reasonably designed to promote compliance with insider trading laws, rules and regulations and applicable listing standards. Our Insider Trading Policy is included as an exhibit to this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(i) each individual who served as our principal executive officer during 2025, (ii) our two most highly compensated other executive officers who were serving as executive officers at the end of 2025 and who received more than $100,000 in the form of salary and bonus during such year, and (iii) up to two additional individuals for whom disclosure would have been provided pursuant to (ii) above but for the fact that the individual was not serving as an executive officer at the end of 2025. We refer to these individuals as our “Named Executive Officers.” During 2025, Messrs. Vennare and Blacher were our only executive officers. Our Named Executive Officers are:</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former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Blacher, Chief Financial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Miglino, Chief Executive Officer and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2025 and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each of the Named Executive Officers during the fiscal years ended December 31, 2025, and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09"/>
        </w:trPr>
        <w:tc>
          <w:tcPr>
            <w:tcW w:w="4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 Chief Executive Officer</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245,858 (a)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287,500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525,000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Josh Blacher, Chief Financial Officer</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98,940 (b)</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404,995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453,940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60" w:hanging="330"/>
        <w:spacing w:after="0" w:line="261"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grant-date fair value of RSUs granted to Mr. Vennare, 8,331 RSUs were granted on September 9, 2025 and 20,000 RSUs were granted on December 10, 2025.</w:t>
      </w:r>
    </w:p>
    <w:p>
      <w:pPr>
        <w:ind w:left="500" w:hanging="330"/>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grant-date fair value of RSUs granted to Mr. Blacher, 6,467 RSUs were granted on September 9,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Appointed Chief Executive Officer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February 6, 2026, the Board appointed Christopher Miglino as Chief Executive Officer to succeed Mr. Vennare, and as a member of the Board to fill the vacancy created by Mr. Vennare’s resignation, effective as of February 9, 2026. In connection with Mr. Miglino’s appointment as Chief Executive Officer of the Company, the Company and Mr. Miglino entered into an employment agreement, dated February 9, 2026 (the “Employment Agreement”), which provides for, among other things, payment to Mr. Miglino of an annual base salary equal to $575,000, and at the discretion of the Board’s Compensation Committee (the “Committee”), to receive grants of stock options or other equity awards. Mr. Miglino will also be eligible to participate in the Company’s</w:t>
      </w:r>
    </w:p>
    <w:p>
      <w:pPr>
        <w:spacing w:after="0" w:line="3" w:lineRule="exact"/>
        <w:rPr>
          <w:sz w:val="20"/>
          <w:szCs w:val="20"/>
          <w:color w:val="auto"/>
        </w:rPr>
      </w:pPr>
    </w:p>
    <w:p>
      <w:pPr>
        <w:jc w:val="both"/>
        <w:ind w:firstLine="8"/>
        <w:spacing w:after="0" w:line="255" w:lineRule="auto"/>
        <w:tabs>
          <w:tab w:leader="none" w:pos="2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program with annual cash bonus equal up to 50% of his salary or at the discretion of the Committee, a higher percentage based on his and the Company’s performance, (ii) long-term incentive plan to be adopted and maintained by the Compensation Committee, and (iii) standard employee benefit plans generally available to executive employees of the Company.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a material inducement to Mr. Miglino’s appointment as Chief Executive Officer, on February 9, 2026 (the “Grant Date”) the Company granted Mr. Miglino stock options (the “Options”) to purchase 500,000 shares of the Company’s common stock at an exercise price equal to the closing price of the Company’s common stock on the Grant Date, pursuant to a Stock Option Inducement Award Agreement (the “Option Agreement”) between Mr. Miglino and the Company. One-third of the Options will vest on the first anniversary of the Grant Date with the remaining two-thirds of the Options vesting in equal monthly installments over the following twenty-four months, in each case subject to Mr. Miglino’s continued employment with or service to the Company through each applicable vesting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9, 2025, the Company granted 8,331 RSUs to Mr. Vennare and 6,467 RSUs to Mr. Blacher. These RSUs vested on October 31, 2025. There were no other outstanding equity awards held by the named executive officers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2025</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Bonuses may be paid at the discretion of the Compensation Committee and as approved by the Board of Directors based on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determination of the performance of the executive officer.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creation and alignment of executive interests with those of stockholders, we may make periodic grants of long-term incentive compensation in the form of stock options or other equity-based incentive awards to our executive officers, directors, and others in the organization.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options provide executive officers, directors, and other employees with the opportunity to purchase common stock at a price fixed on the grant date regardless of future market price. A stock option becomes valuable only if the common stock price increases above the option exercise price and the holder of the option remains employed or appointed during the period required for the option shares to vest. This provides an incentive for an option holder to remain employed or appointed by us. In addition, stock options link employees’ compensation to stockholders’ interests by providing an incentive to increase stockholder value. Under our 2024 Equity Incentive Plan (the “2024 Plan”), which was approved by our stockholders on December 30, 2024 as a successor to our Amended and Restated 2012 Stock Incentive Plan, and which was amended by our Board of Directors and approved by our stockholders on November 25, 2025 to increase the number of shares authorized for issuance thereunder, we may also make grants of common stock, restricted stock, restricted stock units, performance awards, and stock appreciation rights to employees (including officers), directors, consultants, or other independent contractors who provide services to the Company or its subsidiaries. Restricted stock units represent the right to receive shares of our common stock (or, in some cases, the value thereof in cash) upon vesting, with vesting generally being time-based, based on achievement of certain performance metrics, or both. We adopted the 2024 Plan to give us flexibility in the types of awards that we could grant to individuals providing services to the Company. As amended, the 2024 Plan authorizes up to 1,066,667 shares for issuance, plus the number of shares subject to outstanding awards under the 2012 Plan as of December 30, 2024, that are forfeited, expire or otherwise terminate without the issuance of shares after December 30, 2024. As of December 31, 2025, there were stock options to purchase 43,595 shares of common stock outstanding under the 2012 Plan. 980,030 shares remain available for future equity awards.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not adopted a formal policy regarding the timing of stock option grants, we do not time the disclosure of material nonpublic information for the purposes of affecting the value of executive compensation and our practice is that the timing of these grants is not scheduled in a manner that intentionally benefits our executive officers or employees.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including our executive officers, with a full complement of employee benefits,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dental insurance, short term and long-term disability insurance, life insurance, a 401(k) plan, FSA flex plan and Section 125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for Chief Executive Officer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6, 2026, the Board appointed Christopher Miglino as Chief Executive Officer to succeed Mr. Vennare, and as a member of the Board to fill the vacancy created by Mr. Vennare’s resignation, effective as of February 9,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Consulting Agreement for Chief Financial Officer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we entered into a consulting agreement with Danforth Advisors, LLC pursuant to which Mr. Blacher provides consulting services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Blacher does not receive compensation directly from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of our stock option agreements provide for an acceleration of vesting in the event of a change in control as defined in the agreements and in the 2012 Plan under which they were previously issued. Also, see “Employment Contracts” above for a description of certain severance compensation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25, 2023, the Board adopted an Amended and Restated Director Compensation Program (the “Compensation Program”). Director compensation under the Compensation Program is limited to non-employee directors (defined as directors who are not employees of Axe Compute or any subsidiary and who do not receive regular long-term cash compensation as consultants). Pursuant to the Compensation Program, non-employee directors receive a combination of quarterly and annual awards as compensation for their services as directors. During 2025, cash payments were made in lieu of certain quarterly awards of common stock due to limited availability of shares available for issuance under the 2024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program pays all of the compensation in the form of stock and cash awards (with the cash component payable in additional shares at the election of the director). The cash component is approximately equal to 28% of the total value of the award (or 38.9% of the share component of the award), intended to pay taxes on the full award.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receives a quarterly award of $8,333 payable on the last day of the quarter, consisting of (i) shares with a value of $6,000 and (ii) $2,333 in cash (or additional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director who is continuing to serve as a director as of June 17 of a given year also receives an annual award of $10,000, consisting of (i) newly issued shares of common stock with a value of $7,000 and (ii) $3,000 in cash (or additional shares). The awards are payable on or about June 17 each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board committee, each director receives an additional annual award of $11,112, consisting of (i) shares with a value of $8,000 and (ii) $3,112 in cash (or additional shares), payable on December 31.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chairman of the Board is an independent director, the chairman receives an additional annual award of $20,835, consisting of (i) shares with a value of $15,000 and (ii) $5,835 in cash (or additional shares), payable on December 31.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Lead Independent Director, as voted by the Board of Directors, also receives an annual award of $11,112, consisting of (i) shares with a value of $8,000 and (ii) $3,112 in cash (or additional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earned by or paid to each individual who served as a director during the fiscal year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Fees Paid or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Earned in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Nuzum Sr. (2)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52,892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124,343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Daniel Handley (3)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40,444</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St. Clair Sr. (4)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 (5)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57,501</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Veena Rao (7)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56,668</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Matthews (8)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8,339</w:t>
            </w:r>
          </w:p>
        </w:tc>
      </w:tr>
    </w:tbl>
    <w:p>
      <w:pPr>
        <w:spacing w:after="0" w:line="196"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grant date fair value of stock awards granted during 2025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10,747 shares of common stock received in 2025 for serving on the Board.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5,152 shares of common stock received in 2025 for serving on the Board.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5,152 shares of common stock received in 2025 for serving on the Board.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4,312 shares of common stock received in 2025 for serving on the Board.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5,152 shares of common stock received in 2025 for serving on the Board.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5,152 shares of common stock received in 2025 for serving on the Board.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840 shares of common stock received in 2025 for serving on the Board.</w:t>
      </w:r>
    </w:p>
    <w:p>
      <w:pPr>
        <w:spacing w:after="0" w:line="200" w:lineRule="exact"/>
        <w:rPr>
          <w:sz w:val="20"/>
          <w:szCs w:val="20"/>
          <w:color w:val="auto"/>
        </w:rPr>
      </w:pP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available</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for future issuance</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units,</w:t>
            </w: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column</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w:t>
            </w:r>
          </w:p>
        </w:tc>
      </w:tr>
      <w:tr>
        <w:trPr>
          <w:trHeight w:val="238"/>
        </w:trPr>
        <w:tc>
          <w:tcPr>
            <w:tcW w:w="63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(a)(1)</w:t>
            </w:r>
          </w:p>
        </w:tc>
        <w:tc>
          <w:tcPr>
            <w:tcW w:w="1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9"/>
              </w:rPr>
              <w:t>(c)</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(2)</w:t>
            </w: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1,646,104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980,030</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awards under the 2024 Equity Incentive Plan and 2012 Stock Incentive Plan.</w:t>
      </w:r>
    </w:p>
    <w:p>
      <w:pPr>
        <w:spacing w:after="0" w:line="27" w:lineRule="exact"/>
        <w:rPr>
          <w:rFonts w:ascii="Times New Roman" w:cs="Times New Roman" w:eastAsia="Times New Roman" w:hAnsi="Times New Roman"/>
          <w:sz w:val="18"/>
          <w:szCs w:val="18"/>
          <w:color w:val="auto"/>
        </w:rPr>
      </w:pPr>
    </w:p>
    <w:p>
      <w:pPr>
        <w:ind w:left="500" w:right="20" w:hanging="492"/>
        <w:spacing w:after="0" w:line="260"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plans approved by security holders include our 2024 Equity Incentive Plan and former 2012 Stock Incentive Plan, under which certain stock options remain outstanding.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27, 2026, certain information regarding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as identified in this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(as that term is defined under the rules and regulations of the SEC) and directors as a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Rule 13d-3 under the Exchange Act. Beneficial ownership generally means having sole or shared voting or investment power with respect to securities. We are not aware of any beneficial owners of more than 5% of our issued and outstanding common stock as of March 27,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5,539,267 shares of our common stock outstanding on March 27, 2026. Unless otherwise noted below, the address for each person or entity listed in the table is c/o Axe Compute Inc., 91 43rd Street, Suite 110 Pittsburgh, Pennsylvania 15201.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0" w:type="dxa"/>
            <w:vAlign w:val="bottom"/>
          </w:tcPr>
          <w:p>
            <w:pPr>
              <w:spacing w:after="0"/>
              <w:rPr>
                <w:sz w:val="18"/>
                <w:szCs w:val="18"/>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09"/>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 (2)</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19,677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Miglino</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Chuck Nuzum (3)</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St. Clair Sr. (4)</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E. Handley (5)</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Zhu</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Thorsten Dirks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(9 persons)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67,155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197"/>
        </w:trPr>
        <w:tc>
          <w:tcPr>
            <w:tcW w:w="7980" w:type="dxa"/>
            <w:vAlign w:val="bottom"/>
            <w:tcBorders>
              <w:top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Affiliates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DNA Holdings Venture Inc. (6)</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276,409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0"/>
        </w:trPr>
        <w:tc>
          <w:tcPr>
            <w:tcW w:w="79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affiliates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343,564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426"/>
        </w:trPr>
        <w:tc>
          <w:tcPr>
            <w:tcW w:w="7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than one percent.</w:t>
            </w: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jc w:val="both"/>
        <w:ind w:left="380" w:hanging="372"/>
        <w:spacing w:after="0" w:line="25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6" w:lineRule="exact"/>
        <w:rPr>
          <w:rFonts w:ascii="Times New Roman" w:cs="Times New Roman" w:eastAsia="Times New Roman" w:hAnsi="Times New Roman"/>
          <w:sz w:val="18"/>
          <w:szCs w:val="18"/>
          <w:color w:val="auto"/>
        </w:rPr>
      </w:pPr>
    </w:p>
    <w:p>
      <w:pPr>
        <w:ind w:left="380" w:right="80" w:hanging="372"/>
        <w:spacing w:after="0" w:line="265" w:lineRule="auto"/>
        <w:tabs>
          <w:tab w:leader="none" w:pos="3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most recently available Form 4 filed with the SEC on February 9, 2026 prior to Mr. Vennare’s departure from the Company on February 9, 2026. The Company has no obligation to track changes in ownership following Mr. Vennare’s departure and cannot confirm current holdings.</w:t>
      </w: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135 shares that are exercisable within 60 days of March 27, 2026.</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89 shares that are exercisable within 60 days of March 27, 2026.</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110 shares that are exercisable within 60 days of March 27, 2026.</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DNA Holdings Venture Inc. (“DNA”) is 151 Calle de San Francisco, Ste 200, San Juan, PR 00901-1607. DNA is currently known to the Company to hold 36,237 shares of the Company’s outstanding common stock. Additionally, DNA holds (i) 294,447 pre-funded warrants which are fully vested and exercisable into shares of the Company’s common stock within 60 days of March 27, 2026, and (ii) 1,348,906 Strategic Advisor Warrants which are fully vested and exercisable into shares of the Company’s common stock within 60 days of March 27, 2026. Both the pre-funded warrants and Strategic Advisor Warrants contain a beneficial ownership limitation preventing DNA from exercising the instruments into shares of the Company’s common stock to the extent that such exercise would result in DNA holding greater than 4.99% of the number of shares of the Company’s common stock outstanding immediately after giving effect to the issuance of the underlying shares issuable upon exercise of the instrument.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we may be a party prior to their implementation, to assess whether such transactions meet applicable legal requirements. Pursuant to the Charter of the Audit Committee, every transaction that must be disclosed pursuant to Item 404(a) of Regulation S-K promulgated under the Exchange Act must be reviewed and approved by the Audit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Related Parties in Notes to Consolidated Financial Statements of this Annual Report on Form 10-K for further discussion of related parties and transactions with such parties during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director independence is disclosed under Item 10,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audit of the fiscal 2025 and 2024 financial statements, we entered into an engagement agreement with KPMG LLP for fiscal years 2025 and 2024, which sets forth the terms by which they performed audit services for us. Fees are approved by the Audit Committee on an engagement-by-engagement basis. All fees described in the tables below were approved by the Audit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represent aggregate fees billed to us by KPMG LLP (“KPMG”), the Company’s independent public accounting firm for the fiscal years ended December 31, 2025 and 2024, for services rendered with respect to the fiscal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593,000</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right="2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our consolidated financial statements. Also includes fees for services rendered in 2025 in connection with the filing of registration statements and other documents with the SEC, the issuance of accountant consents and comfort letters.</w:t>
      </w:r>
    </w:p>
    <w:p>
      <w:pPr>
        <w:spacing w:after="0" w:line="1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and financial statements are filed as part of, or are incorporated by reference into,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filed with this Annual Report on Form 10-K and can be found beginning at page F-1 of this report: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 (KPMG, LLP, Pittsburgh, PA (US Firm), PCAOB Firm ID #185);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2025, and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Net Loss for the Years Ended December 31, 2025, and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2025, to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2025, and December 31, 2024;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the information required to be shown in the schedules is not applicable or is included elsewhere in the financial statements and Notes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880" w:type="dxa"/>
            <w:vAlign w:val="bottom"/>
          </w:tcPr>
          <w:p>
            <w:pPr>
              <w:spacing w:after="0"/>
              <w:rPr>
                <w:sz w:val="20"/>
                <w:szCs w:val="20"/>
                <w:color w:val="auto"/>
              </w:rPr>
            </w:pPr>
          </w:p>
        </w:tc>
      </w:tr>
      <w:tr>
        <w:trPr>
          <w:trHeight w:val="391"/>
        </w:trPr>
        <w:tc>
          <w:tcPr>
            <w:tcW w:w="12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196"/>
        </w:trPr>
        <w:tc>
          <w:tcPr>
            <w:tcW w:w="120" w:type="dxa"/>
            <w:vAlign w:val="bottom"/>
          </w:tcPr>
          <w:p>
            <w:pPr>
              <w:spacing w:after="0"/>
              <w:rPr>
                <w:sz w:val="17"/>
                <w:szCs w:val="17"/>
                <w:color w:val="auto"/>
              </w:rPr>
            </w:pPr>
          </w:p>
        </w:tc>
        <w:tc>
          <w:tcPr>
            <w:tcW w:w="5460" w:type="dxa"/>
            <w:vAlign w:val="bottom"/>
            <w:gridSpan w:val="2"/>
          </w:tcPr>
          <w:p>
            <w:pPr>
              <w:jc w:val="center"/>
              <w:ind w:right="4860"/>
              <w:spacing w:after="0" w:line="196" w:lineRule="exact"/>
              <w:rPr>
                <w:sz w:val="20"/>
                <w:szCs w:val="20"/>
                <w:color w:val="auto"/>
              </w:rPr>
            </w:pPr>
            <w:r>
              <w:rPr>
                <w:rFonts w:ascii="Times New Roman" w:cs="Times New Roman" w:eastAsia="Times New Roman" w:hAnsi="Times New Roman"/>
                <w:sz w:val="18"/>
                <w:szCs w:val="18"/>
                <w:b w:val="1"/>
                <w:bCs w:val="1"/>
                <w:color w:val="auto"/>
                <w:w w:val="93"/>
              </w:rPr>
              <w:t>Number</w:t>
            </w:r>
          </w:p>
        </w:tc>
        <w:tc>
          <w:tcPr>
            <w:tcW w:w="880" w:type="dxa"/>
            <w:vAlign w:val="bottom"/>
          </w:tcPr>
          <w:p>
            <w:pPr>
              <w:spacing w:after="0"/>
              <w:rPr>
                <w:sz w:val="17"/>
                <w:szCs w:val="17"/>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800" w:hanging="510"/>
        <w:spacing w:after="0" w:line="282" w:lineRule="auto"/>
        <w:tabs>
          <w:tab w:leader="none" w:pos="780" w:val="left"/>
        </w:tabs>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63">
        <w:r>
          <w:rPr>
            <w:rFonts w:ascii="Times New Roman" w:cs="Times New Roman" w:eastAsia="Times New Roman" w:hAnsi="Times New Roman"/>
            <w:sz w:val="18"/>
            <w:szCs w:val="18"/>
            <w:u w:val="single" w:color="auto"/>
            <w:color w:val="0000EE"/>
          </w:rPr>
          <w:t>Certificate of Incorporation (Filed on December 19, 2013 as an exhibit to our Current Report on Form 8-K, and incorporated herein by</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reference).</w:t>
        </w:r>
      </w:hyperlink>
    </w:p>
    <w:p>
      <w:pPr>
        <w:spacing w:after="0" w:line="162" w:lineRule="exact"/>
        <w:rPr>
          <w:rFonts w:ascii="Times New Roman" w:cs="Times New Roman" w:eastAsia="Times New Roman" w:hAnsi="Times New Roman"/>
          <w:sz w:val="18"/>
          <w:szCs w:val="18"/>
          <w:u w:val="single" w:color="auto"/>
          <w:color w:val="0000EE"/>
        </w:rPr>
      </w:pPr>
    </w:p>
    <w:p>
      <w:pPr>
        <w:jc w:val="both"/>
        <w:ind w:left="800" w:hanging="510"/>
        <w:spacing w:after="0" w:line="266" w:lineRule="auto"/>
        <w:tabs>
          <w:tab w:leader="none" w:pos="780" w:val="left"/>
        </w:tabs>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64">
        <w:r>
          <w:rPr>
            <w:rFonts w:ascii="Times New Roman" w:cs="Times New Roman" w:eastAsia="Times New Roman" w:hAnsi="Times New Roman"/>
            <w:sz w:val="18"/>
            <w:szCs w:val="18"/>
            <w:u w:val="single" w:color="auto"/>
            <w:color w:val="0000EE"/>
          </w:rPr>
          <w:t>Certificate of Amendment to Certificate of Incorporation to effect reverse stock split and reduction in authorized share capital filed with the</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Delaware Secretary of State on October 20, 2014. (Filed on October 24, 2014 as an exhibit to our Current Report on Form 8-K, and incorporated</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herein by reference)</w:t>
        </w:r>
      </w:hyperlink>
    </w:p>
    <w:p>
      <w:pPr>
        <w:spacing w:after="0" w:line="176" w:lineRule="exact"/>
        <w:rPr>
          <w:rFonts w:ascii="Times New Roman" w:cs="Times New Roman" w:eastAsia="Times New Roman" w:hAnsi="Times New Roman"/>
          <w:sz w:val="18"/>
          <w:szCs w:val="18"/>
          <w:u w:val="single" w:color="auto"/>
          <w:color w:val="0000EE"/>
        </w:rPr>
      </w:pPr>
    </w:p>
    <w:p>
      <w:pPr>
        <w:ind w:left="300"/>
        <w:spacing w:after="0"/>
        <w:tabs>
          <w:tab w:leader="none" w:pos="780" w:val="left"/>
        </w:tabs>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u w:val="single" w:color="auto"/>
          <w:color w:val="0000EE"/>
        </w:rPr>
        <w:tab/>
      </w:r>
      <w:hyperlink r:id="rId65">
        <w:r>
          <w:rPr>
            <w:rFonts w:ascii="Times New Roman" w:cs="Times New Roman" w:eastAsia="Times New Roman" w:hAnsi="Times New Roman"/>
            <w:sz w:val="18"/>
            <w:szCs w:val="18"/>
            <w:u w:val="single" w:color="auto"/>
            <w:color w:val="0000EE"/>
          </w:rPr>
          <w:t>Certificate of Amendment to Certificate of Incorporation regarding increase in share capital, filed with the Delaware Secretary of State on July</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24, 2015. (Filed on June 30, 2015 as an appendix to our Information Statement on Schedule 14C, and incorporated herein by reference).</w:t>
        </w:r>
      </w:hyperlink>
    </w:p>
    <w:p>
      <w:pPr>
        <w:spacing w:after="0" w:line="207" w:lineRule="exact"/>
        <w:rPr>
          <w:sz w:val="20"/>
          <w:szCs w:val="20"/>
          <w:color w:val="auto"/>
        </w:rPr>
      </w:pPr>
    </w:p>
    <w:p>
      <w:pPr>
        <w:jc w:val="both"/>
        <w:ind w:left="800" w:hanging="510"/>
        <w:spacing w:after="0" w:line="282" w:lineRule="auto"/>
        <w:tabs>
          <w:tab w:leader="none" w:pos="780" w:val="left"/>
        </w:tabs>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u w:val="single" w:color="auto"/>
          <w:color w:val="0000EE"/>
        </w:rPr>
        <w:tab/>
      </w:r>
      <w:hyperlink r:id="rId66">
        <w:r>
          <w:rPr>
            <w:rFonts w:ascii="Times New Roman" w:cs="Times New Roman" w:eastAsia="Times New Roman" w:hAnsi="Times New Roman"/>
            <w:sz w:val="18"/>
            <w:szCs w:val="18"/>
            <w:u w:val="single" w:color="auto"/>
            <w:color w:val="0000EE"/>
          </w:rPr>
          <w:t>Certificate of Amendment to Certificate of Incorporation to increase authorized share capital, filed with the Delaware Secretary of State on</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September 16, 2016. (Filed on September 16, 2016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jc w:val="both"/>
        <w:ind w:left="800" w:hanging="510"/>
        <w:spacing w:after="0" w:line="266" w:lineRule="auto"/>
        <w:tabs>
          <w:tab w:leader="none" w:pos="780" w:val="left"/>
        </w:tabs>
        <w:rPr>
          <w:rFonts w:ascii="Times New Roman" w:cs="Times New Roman" w:eastAsia="Times New Roman" w:hAnsi="Times New Roman"/>
          <w:sz w:val="18"/>
          <w:szCs w:val="18"/>
          <w:u w:val="single" w:color="auto"/>
          <w:color w:val="0000EE"/>
        </w:rPr>
      </w:pPr>
      <w:hyperlink r:id="rId67">
        <w:r>
          <w:rPr>
            <w:rFonts w:ascii="Times New Roman" w:cs="Times New Roman" w:eastAsia="Times New Roman" w:hAnsi="Times New Roman"/>
            <w:sz w:val="18"/>
            <w:szCs w:val="18"/>
            <w:u w:val="single" w:color="auto"/>
            <w:color w:val="0000EE"/>
          </w:rPr>
          <w:t>3.5</w:t>
        </w:r>
      </w:hyperlink>
      <w:r>
        <w:rPr>
          <w:rFonts w:ascii="Times New Roman" w:cs="Times New Roman" w:eastAsia="Times New Roman" w:hAnsi="Times New Roman"/>
          <w:sz w:val="18"/>
          <w:szCs w:val="18"/>
          <w:u w:val="single" w:color="auto"/>
          <w:color w:val="0000EE"/>
        </w:rPr>
        <w:tab/>
      </w:r>
      <w:hyperlink r:id="rId67">
        <w:r>
          <w:rPr>
            <w:rFonts w:ascii="Times New Roman" w:cs="Times New Roman" w:eastAsia="Times New Roman" w:hAnsi="Times New Roman"/>
            <w:sz w:val="18"/>
            <w:szCs w:val="18"/>
            <w:u w:val="single" w:color="auto"/>
            <w:color w:val="0000EE"/>
          </w:rPr>
          <w:t>Certificate of Amendment to Certificate of Incorporation to effect reverse stock split and reduction in authorized share capital, filed with the</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Delaware Secretary of State on October 26, 2016. (Filed on October 27, 2016 as an exhibit to our Current Report on Form 8-K, and incorporated</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herein by reference).</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800" w:hanging="510"/>
        <w:spacing w:after="0" w:line="282" w:lineRule="auto"/>
        <w:tabs>
          <w:tab w:leader="none" w:pos="780" w:val="left"/>
        </w:tabs>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3.6</w:t>
        </w:r>
      </w:hyperlink>
      <w:r>
        <w:rPr>
          <w:rFonts w:ascii="Times New Roman" w:cs="Times New Roman" w:eastAsia="Times New Roman" w:hAnsi="Times New Roman"/>
          <w:sz w:val="18"/>
          <w:szCs w:val="18"/>
          <w:u w:val="single" w:color="auto"/>
          <w:color w:val="0000EE"/>
        </w:rPr>
        <w:tab/>
      </w:r>
      <w:hyperlink r:id="rId68">
        <w:r>
          <w:rPr>
            <w:rFonts w:ascii="Times New Roman" w:cs="Times New Roman" w:eastAsia="Times New Roman" w:hAnsi="Times New Roman"/>
            <w:sz w:val="18"/>
            <w:szCs w:val="18"/>
            <w:u w:val="single" w:color="auto"/>
            <w:color w:val="0000EE"/>
          </w:rPr>
          <w:t>Certificate of Amendment to Certificate of Incorporation regarding increase in share capital, filed with the Delaware Secretary of State on</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January 26, 2017. (Filed on January 27, 2017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300"/>
        <w:spacing w:after="0"/>
        <w:tabs>
          <w:tab w:leader="none" w:pos="780" w:val="left"/>
        </w:tabs>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3.7</w:t>
        </w:r>
      </w:hyperlink>
      <w:r>
        <w:rPr>
          <w:rFonts w:ascii="Times New Roman" w:cs="Times New Roman" w:eastAsia="Times New Roman" w:hAnsi="Times New Roman"/>
          <w:sz w:val="18"/>
          <w:szCs w:val="18"/>
          <w:u w:val="single" w:color="auto"/>
          <w:color w:val="0000EE"/>
        </w:rPr>
        <w:tab/>
      </w:r>
      <w:hyperlink r:id="rId69">
        <w:r>
          <w:rPr>
            <w:rFonts w:ascii="Times New Roman" w:cs="Times New Roman" w:eastAsia="Times New Roman" w:hAnsi="Times New Roman"/>
            <w:sz w:val="18"/>
            <w:szCs w:val="18"/>
            <w:u w:val="single" w:color="auto"/>
            <w:color w:val="0000EE"/>
          </w:rPr>
          <w:t>Certificate of Amendment to Certificate of Incorporation to effect reverse stock split, filed with the Delaware Secretary of State on January 2,</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2018. (Filed on January 2, 2018 as an exhibit to our Current Report on Form 8-K, and incorporated herein by reference).</w:t>
        </w:r>
      </w:hyperlink>
    </w:p>
    <w:p>
      <w:pPr>
        <w:spacing w:after="0" w:line="207" w:lineRule="exact"/>
        <w:rPr>
          <w:sz w:val="20"/>
          <w:szCs w:val="20"/>
          <w:color w:val="auto"/>
        </w:rPr>
      </w:pPr>
    </w:p>
    <w:p>
      <w:pPr>
        <w:ind w:left="300"/>
        <w:spacing w:after="0"/>
        <w:tabs>
          <w:tab w:leader="none" w:pos="780" w:val="left"/>
        </w:tabs>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3.8</w:t>
        </w:r>
      </w:hyperlink>
      <w:r>
        <w:rPr>
          <w:rFonts w:ascii="Times New Roman" w:cs="Times New Roman" w:eastAsia="Times New Roman" w:hAnsi="Times New Roman"/>
          <w:sz w:val="18"/>
          <w:szCs w:val="18"/>
          <w:u w:val="single" w:color="auto"/>
          <w:color w:val="0000EE"/>
        </w:rPr>
        <w:tab/>
      </w:r>
      <w:hyperlink r:id="rId70">
        <w:r>
          <w:rPr>
            <w:rFonts w:ascii="Times New Roman" w:cs="Times New Roman" w:eastAsia="Times New Roman" w:hAnsi="Times New Roman"/>
            <w:sz w:val="18"/>
            <w:szCs w:val="18"/>
            <w:u w:val="single" w:color="auto"/>
            <w:color w:val="0000EE"/>
          </w:rPr>
          <w:t>Certificate of Amendment to Certificate of Incorporation to effect name change, filed with the Delaware Secretary of State on February 1, 2018.</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(Filed on February 6, 2018 as an exhibit to our Current Report on Form 8-K, and incorporated herein by reference).</w:t>
        </w:r>
      </w:hyperlink>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ind w:left="560" w:hanging="510"/>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3.9</w:t>
        </w:r>
      </w:hyperlink>
      <w:r>
        <w:rPr>
          <w:rFonts w:ascii="Times New Roman" w:cs="Times New Roman" w:eastAsia="Times New Roman" w:hAnsi="Times New Roman"/>
          <w:sz w:val="18"/>
          <w:szCs w:val="18"/>
          <w:u w:val="single" w:color="auto"/>
          <w:color w:val="0000EE"/>
        </w:rPr>
        <w:tab/>
      </w:r>
      <w:hyperlink r:id="rId72">
        <w:r>
          <w:rPr>
            <w:rFonts w:ascii="Times New Roman" w:cs="Times New Roman" w:eastAsia="Times New Roman" w:hAnsi="Times New Roman"/>
            <w:sz w:val="18"/>
            <w:szCs w:val="18"/>
            <w:u w:val="single" w:color="auto"/>
            <w:color w:val="0000EE"/>
          </w:rPr>
          <w:t>Form of Certificate of Designation of Preferences, Rights and Limitations of Series B Convertible Preferred Stock. (Filed on August 19, 2015 as</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an exhibit to our Registration Statement on Form S-1 (File No. 333-198962),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3.10</w:t>
        </w:r>
      </w:hyperlink>
      <w:r>
        <w:rPr>
          <w:rFonts w:ascii="Times New Roman" w:cs="Times New Roman" w:eastAsia="Times New Roman" w:hAnsi="Times New Roman"/>
          <w:sz w:val="18"/>
          <w:szCs w:val="18"/>
          <w:u w:val="single" w:color="auto"/>
          <w:color w:val="0000EE"/>
        </w:rPr>
        <w:tab/>
      </w:r>
      <w:hyperlink r:id="rId73">
        <w:r>
          <w:rPr>
            <w:rFonts w:ascii="Times New Roman" w:cs="Times New Roman" w:eastAsia="Times New Roman" w:hAnsi="Times New Roman"/>
            <w:sz w:val="18"/>
            <w:szCs w:val="18"/>
            <w:u w:val="single" w:color="auto"/>
            <w:color w:val="0000EE"/>
          </w:rPr>
          <w:t>Certificate of Designation of Preferences, Rights and Limitations of Series C Convertible Preferred Stock. (Filed on November 29, 2017 as an</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1"/>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r:id="rId74">
        <w:r>
          <w:rPr>
            <w:rFonts w:ascii="Times New Roman" w:cs="Times New Roman" w:eastAsia="Times New Roman" w:hAnsi="Times New Roman"/>
            <w:sz w:val="18"/>
            <w:szCs w:val="18"/>
            <w:u w:val="single" w:color="auto"/>
            <w:color w:val="0000EE"/>
          </w:rPr>
          <w:t>Certificate of Amendment to Certificate of Incorporation dated March 22, 2019. (Filed on March 22, 2019 as an exhibit to our Current Report on</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r:id="rId75">
        <w:r>
          <w:rPr>
            <w:rFonts w:ascii="Times New Roman" w:cs="Times New Roman" w:eastAsia="Times New Roman" w:hAnsi="Times New Roman"/>
            <w:sz w:val="18"/>
            <w:szCs w:val="18"/>
            <w:u w:val="single" w:color="auto"/>
            <w:color w:val="0000EE"/>
          </w:rPr>
          <w:t>Certificate of Designation Of Preferences, Rights And Limitations of Series D Convertible Preferred Stock. (Filed on April 1, 2020 as an exhibit</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to our Annual Report on Form 10-K,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3.13</w:t>
        </w:r>
      </w:hyperlink>
      <w:r>
        <w:rPr>
          <w:rFonts w:ascii="Times New Roman" w:cs="Times New Roman" w:eastAsia="Times New Roman" w:hAnsi="Times New Roman"/>
          <w:sz w:val="18"/>
          <w:szCs w:val="18"/>
          <w:u w:val="single" w:color="auto"/>
          <w:color w:val="0000EE"/>
        </w:rPr>
        <w:tab/>
      </w:r>
      <w:hyperlink r:id="rId76">
        <w:r>
          <w:rPr>
            <w:rFonts w:ascii="Times New Roman" w:cs="Times New Roman" w:eastAsia="Times New Roman" w:hAnsi="Times New Roman"/>
            <w:sz w:val="18"/>
            <w:szCs w:val="18"/>
            <w:u w:val="single" w:color="auto"/>
            <w:color w:val="0000EE"/>
          </w:rPr>
          <w:t>Certificate of Designation of Preferences, Rights and Limitations of Series E Convertible Preferred Stock Effective June 13, 2019. (Filed on</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June 19, 2019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3.14</w:t>
        </w:r>
      </w:hyperlink>
      <w:r>
        <w:rPr>
          <w:rFonts w:ascii="Times New Roman" w:cs="Times New Roman" w:eastAsia="Times New Roman" w:hAnsi="Times New Roman"/>
          <w:sz w:val="18"/>
          <w:szCs w:val="18"/>
          <w:u w:val="single" w:color="auto"/>
          <w:color w:val="0000EE"/>
        </w:rPr>
        <w:tab/>
      </w:r>
      <w:hyperlink r:id="rId77">
        <w:r>
          <w:rPr>
            <w:rFonts w:ascii="Times New Roman" w:cs="Times New Roman" w:eastAsia="Times New Roman" w:hAnsi="Times New Roman"/>
            <w:sz w:val="18"/>
            <w:szCs w:val="18"/>
            <w:u w:val="single" w:color="auto"/>
            <w:color w:val="0000EE"/>
          </w:rPr>
          <w:t>Certificate of Amendment of Certificate of Incorporation, changing name from Precision Therapeutics Inc. to Predictive Oncology Inc. (Filed on</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June 13, 2019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3.15</w:t>
        </w:r>
      </w:hyperlink>
      <w:r>
        <w:rPr>
          <w:rFonts w:ascii="Times New Roman" w:cs="Times New Roman" w:eastAsia="Times New Roman" w:hAnsi="Times New Roman"/>
          <w:sz w:val="18"/>
          <w:szCs w:val="18"/>
          <w:u w:val="single" w:color="auto"/>
          <w:color w:val="0000EE"/>
        </w:rPr>
        <w:tab/>
      </w:r>
      <w:hyperlink r:id="rId78">
        <w:r>
          <w:rPr>
            <w:rFonts w:ascii="Times New Roman" w:cs="Times New Roman" w:eastAsia="Times New Roman" w:hAnsi="Times New Roman"/>
            <w:sz w:val="18"/>
            <w:szCs w:val="18"/>
            <w:u w:val="single" w:color="auto"/>
            <w:color w:val="0000EE"/>
          </w:rPr>
          <w:t>Certificate of Amendment of Certificate of Incorporation, amending number of shares of common stock and preferred stock, effecting a reverse</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stock split. (Filed on October 28, 2019 as an exhibit to our Current Report on Form 8-K).</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3.16</w:t>
        </w:r>
      </w:hyperlink>
      <w:r>
        <w:rPr>
          <w:rFonts w:ascii="Times New Roman" w:cs="Times New Roman" w:eastAsia="Times New Roman" w:hAnsi="Times New Roman"/>
          <w:sz w:val="18"/>
          <w:szCs w:val="18"/>
          <w:u w:val="single" w:color="auto"/>
          <w:color w:val="0000EE"/>
        </w:rPr>
        <w:tab/>
      </w:r>
      <w:hyperlink r:id="rId79">
        <w:r>
          <w:rPr>
            <w:rFonts w:ascii="Times New Roman" w:cs="Times New Roman" w:eastAsia="Times New Roman" w:hAnsi="Times New Roman"/>
            <w:sz w:val="18"/>
            <w:szCs w:val="18"/>
            <w:u w:val="single" w:color="auto"/>
            <w:color w:val="0000EE"/>
          </w:rPr>
          <w:t>Certificate of Amendment to the Certificate of Incorporation, doubling number of shares of common stock and preferred stock due to stock split.</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(Filed on August 19, 2021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3.17</w:t>
        </w:r>
      </w:hyperlink>
      <w:r>
        <w:rPr>
          <w:rFonts w:ascii="Times New Roman" w:cs="Times New Roman" w:eastAsia="Times New Roman" w:hAnsi="Times New Roman"/>
          <w:sz w:val="18"/>
          <w:szCs w:val="18"/>
          <w:u w:val="single" w:color="auto"/>
          <w:color w:val="0000EE"/>
        </w:rPr>
        <w:tab/>
      </w:r>
      <w:hyperlink r:id="rId80">
        <w:r>
          <w:rPr>
            <w:rFonts w:ascii="Times New Roman" w:cs="Times New Roman" w:eastAsia="Times New Roman" w:hAnsi="Times New Roman"/>
            <w:sz w:val="18"/>
            <w:szCs w:val="18"/>
            <w:u w:val="single" w:color="auto"/>
            <w:color w:val="0000EE"/>
          </w:rPr>
          <w:t>Certificate of Designation of Series F Preferred Stock (Filed on March 16, 2023 as an exhibit to the Form 8-A and incorporated herein by</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3.18</w:t>
        </w:r>
      </w:hyperlink>
      <w:r>
        <w:rPr>
          <w:rFonts w:ascii="Times New Roman" w:cs="Times New Roman" w:eastAsia="Times New Roman" w:hAnsi="Times New Roman"/>
          <w:sz w:val="18"/>
          <w:szCs w:val="18"/>
          <w:u w:val="single" w:color="auto"/>
          <w:color w:val="0000EE"/>
        </w:rPr>
        <w:tab/>
      </w:r>
      <w:hyperlink r:id="rId81">
        <w:r>
          <w:rPr>
            <w:rFonts w:ascii="Times New Roman" w:cs="Times New Roman" w:eastAsia="Times New Roman" w:hAnsi="Times New Roman"/>
            <w:sz w:val="18"/>
            <w:szCs w:val="18"/>
            <w:u w:val="single" w:color="auto"/>
            <w:color w:val="0000EE"/>
          </w:rPr>
          <w:t>Certificate of Amendment to Certificate of Incorporation (Filed on April 20, 2023 as an exhibit to our Current Report on Form 8-K and</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right="22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3.19</w:t>
        </w:r>
      </w:hyperlink>
      <w:r>
        <w:rPr>
          <w:rFonts w:ascii="Times New Roman" w:cs="Times New Roman" w:eastAsia="Times New Roman" w:hAnsi="Times New Roman"/>
          <w:sz w:val="18"/>
          <w:szCs w:val="18"/>
          <w:u w:val="single" w:color="auto"/>
          <w:color w:val="0000EE"/>
        </w:rPr>
        <w:tab/>
      </w:r>
      <w:hyperlink r:id="rId82">
        <w:r>
          <w:rPr>
            <w:rFonts w:ascii="Times New Roman" w:cs="Times New Roman" w:eastAsia="Times New Roman" w:hAnsi="Times New Roman"/>
            <w:sz w:val="18"/>
            <w:szCs w:val="18"/>
            <w:u w:val="single" w:color="auto"/>
            <w:color w:val="0000EE"/>
          </w:rPr>
          <w:t>Certificate of Amendment of Certificate of Incorporation (Filed on September 25, 2025 as Exhibit 3.1 to our Current Report on Form 8-K and</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right="2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3.20</w:t>
        </w:r>
      </w:hyperlink>
      <w:r>
        <w:rPr>
          <w:rFonts w:ascii="Times New Roman" w:cs="Times New Roman" w:eastAsia="Times New Roman" w:hAnsi="Times New Roman"/>
          <w:sz w:val="18"/>
          <w:szCs w:val="18"/>
          <w:u w:val="single" w:color="auto"/>
          <w:color w:val="0000EE"/>
        </w:rPr>
        <w:tab/>
      </w:r>
      <w:hyperlink r:id="rId83">
        <w:r>
          <w:rPr>
            <w:rFonts w:ascii="Times New Roman" w:cs="Times New Roman" w:eastAsia="Times New Roman" w:hAnsi="Times New Roman"/>
            <w:sz w:val="18"/>
            <w:szCs w:val="18"/>
            <w:u w:val="single" w:color="auto"/>
            <w:color w:val="0000EE"/>
          </w:rPr>
          <w:t>Second Amended and Restated Bylaws of the Company, effective as of September 9, 2022 (Filed on September 30, 2022 as an exhibit to our</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Registration Statement on Form S-1 (File No. 333-267689).</w:t>
        </w:r>
      </w:hyperlink>
    </w:p>
    <w:p>
      <w:pPr>
        <w:spacing w:after="0" w:line="162" w:lineRule="exact"/>
        <w:rPr>
          <w:rFonts w:ascii="Times New Roman" w:cs="Times New Roman" w:eastAsia="Times New Roman" w:hAnsi="Times New Roman"/>
          <w:sz w:val="18"/>
          <w:szCs w:val="18"/>
          <w:u w:val="single" w:color="auto"/>
          <w:color w:val="0000EE"/>
        </w:rPr>
      </w:pPr>
    </w:p>
    <w:p>
      <w:pPr>
        <w:ind w:left="560" w:right="380" w:hanging="555"/>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u w:val="single" w:color="auto"/>
          <w:color w:val="0000EE"/>
        </w:rPr>
        <w:tab/>
      </w:r>
      <w:hyperlink r:id="rId84">
        <w:r>
          <w:rPr>
            <w:rFonts w:ascii="Times New Roman" w:cs="Times New Roman" w:eastAsia="Times New Roman" w:hAnsi="Times New Roman"/>
            <w:sz w:val="18"/>
            <w:szCs w:val="18"/>
            <w:u w:val="single" w:color="auto"/>
            <w:color w:val="0000EE"/>
          </w:rPr>
          <w:t>Amendment to Second Amended and Restated Bylaws (Filed on September 30, 2025 as Exhibit 3.1 to our Current Report on Form 8-K and</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10"/>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85">
        <w:r>
          <w:rPr>
            <w:rFonts w:ascii="Times New Roman" w:cs="Times New Roman" w:eastAsia="Times New Roman" w:hAnsi="Times New Roman"/>
            <w:sz w:val="18"/>
            <w:szCs w:val="18"/>
            <w:u w:val="single" w:color="auto"/>
            <w:color w:val="0000EE"/>
          </w:rPr>
          <w:t>Form of specimen certificate evidencing shares of Series B Convertible Preferred Stock. (Filed on August 10, 2015 as an exhibit to our</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Registration Statement on Form S-1/A (File No. 333-198962)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hanging="510"/>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86">
        <w:r>
          <w:rPr>
            <w:rFonts w:ascii="Times New Roman" w:cs="Times New Roman" w:eastAsia="Times New Roman" w:hAnsi="Times New Roman"/>
            <w:sz w:val="18"/>
            <w:szCs w:val="18"/>
            <w:u w:val="single" w:color="auto"/>
            <w:color w:val="0000EE"/>
          </w:rPr>
          <w:t>Form of Unit Purchase Option issued February 27, 2019. (Filed on March 1, 2019 as an exhibit to our Current Report on Form 8-K and</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560" w:right="20" w:hanging="510"/>
        <w:spacing w:after="0" w:line="282" w:lineRule="auto"/>
        <w:tabs>
          <w:tab w:leader="none" w:pos="540" w:val="left"/>
        </w:tabs>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87">
        <w:r>
          <w:rPr>
            <w:rFonts w:ascii="Times New Roman" w:cs="Times New Roman" w:eastAsia="Times New Roman" w:hAnsi="Times New Roman"/>
            <w:sz w:val="18"/>
            <w:szCs w:val="18"/>
            <w:u w:val="single" w:color="auto"/>
            <w:color w:val="0000EE"/>
          </w:rPr>
          <w:t>Form of Unit Purchase Option for the Purchase of Units issued March 29, 2019. (Filed on April 2, 2019 as an exhibit to our Current Report on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jc w:val="center"/>
        <w:ind w:right="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-146685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60" w:top="58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Specimen Common Stock Certificate. (Filed on October 3, 2019 as an exhibit to our Registration Statement on Form S-3 (File No. 333-</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234073) and incorporated herein by reference.)</w:t>
              </w:r>
            </w:hyperlink>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Common Stock Purchase Warrant Issued on or about October 1, 2019. (Filed on October 10, 2019 as an exhibit to our Current Report</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on Form 8-K and incorporated herein by reference.)</w:t>
              </w:r>
            </w:hyperlink>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Common Stock Purchase Warrant issued to Oasis Capital, LLC dated February 5, 2020. (Filed on February 7, 2020 as an exhibit to our Current</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Report on Form 8-K and incorporated herein by reference.)</w:t>
              </w:r>
            </w:hyperlink>
          </w:p>
        </w:tc>
        <w:tc>
          <w:tcPr>
            <w:tcW w:w="61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Description of Registrant’s Securities. (Filed on March 31, 2025 as an exhibit to our Annual Report on Form 10-K and incorporated herein by</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reference.)</w:t>
              </w:r>
            </w:hyperlink>
          </w:p>
        </w:tc>
        <w:tc>
          <w:tcPr>
            <w:tcW w:w="9660" w:type="dxa"/>
            <w:vAlign w:val="bottom"/>
            <w:tcBorders>
              <w:top w:val="single" w:sz="8" w:color="0000EE"/>
            </w:tcBorders>
            <w:gridSpan w:val="16"/>
          </w:tcPr>
          <w:p>
            <w:pPr>
              <w:spacing w:after="0"/>
              <w:rPr>
                <w:sz w:val="17"/>
                <w:szCs w:val="17"/>
                <w:color w:val="auto"/>
              </w:rPr>
            </w:pPr>
          </w:p>
        </w:tc>
      </w:tr>
      <w:tr>
        <w:trPr>
          <w:trHeight w:val="412"/>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Common Stock Purchase Warrant issued to Oasis Capital, LLC dated March 6, 2020. (Filed on April 6, 2020 as an exhibit to our Registration</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Statement on Form S-3 (File No. 333-237581) and incorporated herein by reference.)</w:t>
              </w:r>
            </w:hyperlink>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Helomics Common Stock Purchase Warrant issued April 4, 2019. (Filed on January 24, 2019 as Annex H to Amendment No. 2 to Form</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S-4 (File No. 333-228031) and incorporated herein by reference.)</w:t>
              </w:r>
            </w:hyperlink>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12"/>
        </w:trPr>
        <w:tc>
          <w:tcPr>
            <w:tcW w:w="660" w:type="dxa"/>
            <w:vAlign w:val="bottom"/>
            <w:gridSpan w:val="7"/>
          </w:tcPr>
          <w:p>
            <w:pPr>
              <w:jc w:val="center"/>
              <w:ind w:left="50"/>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Common Stock Purchase Warrant issued January 12, 2021. (Filed on January 12, 2021 as an exhibit to our Current Report on Form 8-K</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and incorporated herein by reference.)</w:t>
              </w:r>
            </w:hyperlink>
          </w:p>
        </w:tc>
        <w:tc>
          <w:tcPr>
            <w:tcW w:w="7680" w:type="dxa"/>
            <w:vAlign w:val="bottom"/>
            <w:tcBorders>
              <w:top w:val="single" w:sz="8" w:color="0000EE"/>
            </w:tcBorders>
            <w:gridSpan w:val="12"/>
          </w:tcPr>
          <w:p>
            <w:pPr>
              <w:spacing w:after="0"/>
              <w:rPr>
                <w:sz w:val="17"/>
                <w:szCs w:val="17"/>
                <w:color w:val="auto"/>
              </w:rPr>
            </w:pPr>
          </w:p>
        </w:tc>
      </w:tr>
      <w:tr>
        <w:trPr>
          <w:trHeight w:val="412"/>
        </w:trPr>
        <w:tc>
          <w:tcPr>
            <w:tcW w:w="560" w:type="dxa"/>
            <w:vAlign w:val="bottom"/>
            <w:gridSpan w:val="6"/>
          </w:tcPr>
          <w:p>
            <w:pPr>
              <w:jc w:val="center"/>
              <w:ind w:left="170"/>
              <w:spacing w:after="0"/>
              <w:rPr>
                <w:rFonts w:ascii="Times New Roman" w:cs="Times New Roman" w:eastAsia="Times New Roman" w:hAnsi="Times New Roman"/>
                <w:sz w:val="18"/>
                <w:szCs w:val="18"/>
                <w:color w:val="0000EE"/>
                <w:w w:val="95"/>
              </w:rPr>
            </w:pPr>
            <w:hyperlink r:id="rId96">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Common Stock Purchase Warrant issued January 19, 2021. (Filed on January 21, 2021 as an exhibit to our Current Report on Form 8-K</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and incorporated herein by reference.)</w:t>
              </w:r>
            </w:hyperlink>
          </w:p>
        </w:tc>
        <w:tc>
          <w:tcPr>
            <w:tcW w:w="7680" w:type="dxa"/>
            <w:vAlign w:val="bottom"/>
            <w:tcBorders>
              <w:top w:val="single" w:sz="8" w:color="0000EE"/>
            </w:tcBorders>
            <w:gridSpan w:val="12"/>
          </w:tcPr>
          <w:p>
            <w:pPr>
              <w:spacing w:after="0"/>
              <w:rPr>
                <w:sz w:val="17"/>
                <w:szCs w:val="17"/>
                <w:color w:val="auto"/>
              </w:rPr>
            </w:pPr>
          </w:p>
        </w:tc>
      </w:tr>
      <w:tr>
        <w:trPr>
          <w:trHeight w:val="412"/>
        </w:trPr>
        <w:tc>
          <w:tcPr>
            <w:tcW w:w="660" w:type="dxa"/>
            <w:vAlign w:val="bottom"/>
            <w:gridSpan w:val="7"/>
          </w:tcPr>
          <w:p>
            <w:pPr>
              <w:jc w:val="center"/>
              <w:ind w:left="50"/>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Placement Agent Warrant to H.C. Wainwright &amp; Co., LLC or its designees in connection with certain financing transactions in 2020</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and 2021. (Filed on January 29, 2021 as an exhibit to our Current Report on Form 8-K and incorporated herein by reference.)</w:t>
              </w:r>
            </w:hyperlink>
          </w:p>
        </w:tc>
      </w:tr>
      <w:tr>
        <w:trPr>
          <w:trHeight w:val="20"/>
        </w:trPr>
        <w:tc>
          <w:tcPr>
            <w:tcW w:w="1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900" w:type="dxa"/>
            <w:vAlign w:val="bottom"/>
            <w:gridSpan w:val="6"/>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12"/>
        </w:trPr>
        <w:tc>
          <w:tcPr>
            <w:tcW w:w="660" w:type="dxa"/>
            <w:vAlign w:val="bottom"/>
            <w:gridSpan w:val="7"/>
          </w:tcPr>
          <w:p>
            <w:pPr>
              <w:jc w:val="center"/>
              <w:ind w:left="50"/>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Common Stock Purchase Warrant dated February 10, 2021. (Filed on February 12, 2021 as an exhibit to our Current Report on Form 8-</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K and incorporated herein by reference.)</w:t>
              </w:r>
            </w:hyperlink>
          </w:p>
        </w:tc>
        <w:tc>
          <w:tcPr>
            <w:tcW w:w="7500" w:type="dxa"/>
            <w:vAlign w:val="bottom"/>
            <w:tcBorders>
              <w:top w:val="single" w:sz="8" w:color="0000EE"/>
            </w:tcBorders>
            <w:gridSpan w:val="11"/>
          </w:tcPr>
          <w:p>
            <w:pPr>
              <w:spacing w:after="0"/>
              <w:rPr>
                <w:sz w:val="17"/>
                <w:szCs w:val="17"/>
                <w:color w:val="auto"/>
              </w:rPr>
            </w:pPr>
          </w:p>
        </w:tc>
      </w:tr>
      <w:tr>
        <w:trPr>
          <w:trHeight w:val="412"/>
        </w:trPr>
        <w:tc>
          <w:tcPr>
            <w:tcW w:w="660" w:type="dxa"/>
            <w:vAlign w:val="bottom"/>
            <w:gridSpan w:val="7"/>
          </w:tcPr>
          <w:p>
            <w:pPr>
              <w:jc w:val="center"/>
              <w:ind w:left="50"/>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Common Stock Purchase Warrant dated February 18, 2021. (Filed on February 22, 2021 as an exhibit to our Current Report on Form 8-</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K and incorporated herein by reference.)</w:t>
              </w:r>
            </w:hyperlink>
          </w:p>
        </w:tc>
        <w:tc>
          <w:tcPr>
            <w:tcW w:w="7500" w:type="dxa"/>
            <w:vAlign w:val="bottom"/>
            <w:tcBorders>
              <w:top w:val="single" w:sz="8" w:color="0000EE"/>
            </w:tcBorders>
            <w:gridSpan w:val="11"/>
          </w:tcPr>
          <w:p>
            <w:pPr>
              <w:spacing w:after="0"/>
              <w:rPr>
                <w:sz w:val="17"/>
                <w:szCs w:val="17"/>
                <w:color w:val="auto"/>
              </w:rPr>
            </w:pPr>
          </w:p>
        </w:tc>
      </w:tr>
      <w:tr>
        <w:trPr>
          <w:trHeight w:val="412"/>
        </w:trPr>
        <w:tc>
          <w:tcPr>
            <w:tcW w:w="660" w:type="dxa"/>
            <w:vAlign w:val="bottom"/>
            <w:gridSpan w:val="7"/>
          </w:tcPr>
          <w:p>
            <w:pPr>
              <w:jc w:val="center"/>
              <w:ind w:left="50"/>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Common Stock Purchase Warrant dated June 14, 2021. (Filed on June 16, 2021 as an exhibit to our Current Report on Form 8-K and</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incorporated herein by reference.)</w:t>
              </w:r>
            </w:hyperlink>
          </w:p>
        </w:tc>
        <w:tc>
          <w:tcPr>
            <w:tcW w:w="7980" w:type="dxa"/>
            <w:vAlign w:val="bottom"/>
            <w:tcBorders>
              <w:top w:val="single" w:sz="8" w:color="0000EE"/>
            </w:tcBorders>
            <w:gridSpan w:val="13"/>
          </w:tcPr>
          <w:p>
            <w:pPr>
              <w:spacing w:after="0"/>
              <w:rPr>
                <w:sz w:val="17"/>
                <w:szCs w:val="17"/>
                <w:color w:val="auto"/>
              </w:rPr>
            </w:pPr>
          </w:p>
        </w:tc>
      </w:tr>
      <w:tr>
        <w:trPr>
          <w:trHeight w:val="412"/>
        </w:trPr>
        <w:tc>
          <w:tcPr>
            <w:tcW w:w="240" w:type="dxa"/>
            <w:vAlign w:val="bottom"/>
            <w:gridSpan w:val="2"/>
          </w:tcPr>
          <w:p>
            <w:pPr>
              <w:spacing w:after="0"/>
              <w:rPr>
                <w:sz w:val="24"/>
                <w:szCs w:val="24"/>
                <w:color w:val="auto"/>
              </w:rPr>
            </w:pPr>
          </w:p>
        </w:tc>
        <w:tc>
          <w:tcPr>
            <w:tcW w:w="420" w:type="dxa"/>
            <w:vAlign w:val="bottom"/>
            <w:gridSpan w:val="5"/>
          </w:tcPr>
          <w:p>
            <w:pPr>
              <w:jc w:val="center"/>
              <w:ind w:right="100"/>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Placement Agent Warrant dated June 14, 2021. (Filed on June 16, 2021 as an exhibit to our Current Report on Form 8-K and</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incorporated herein by reference.)</w:t>
              </w:r>
            </w:hyperlink>
          </w:p>
        </w:tc>
        <w:tc>
          <w:tcPr>
            <w:tcW w:w="7140" w:type="dxa"/>
            <w:vAlign w:val="bottom"/>
            <w:tcBorders>
              <w:top w:val="single" w:sz="8" w:color="0000EE"/>
            </w:tcBorders>
            <w:gridSpan w:val="11"/>
          </w:tcPr>
          <w:p>
            <w:pPr>
              <w:spacing w:after="0"/>
              <w:rPr>
                <w:sz w:val="17"/>
                <w:szCs w:val="17"/>
                <w:color w:val="auto"/>
              </w:rPr>
            </w:pPr>
          </w:p>
        </w:tc>
        <w:tc>
          <w:tcPr>
            <w:tcW w:w="840" w:type="dxa"/>
            <w:vAlign w:val="bottom"/>
            <w:gridSpan w:val="2"/>
          </w:tcPr>
          <w:p>
            <w:pPr>
              <w:spacing w:after="0"/>
              <w:rPr>
                <w:sz w:val="17"/>
                <w:szCs w:val="17"/>
                <w:color w:val="auto"/>
              </w:rPr>
            </w:pPr>
          </w:p>
        </w:tc>
      </w:tr>
      <w:tr>
        <w:trPr>
          <w:trHeight w:val="412"/>
        </w:trPr>
        <w:tc>
          <w:tcPr>
            <w:tcW w:w="660" w:type="dxa"/>
            <w:vAlign w:val="bottom"/>
            <w:gridSpan w:val="7"/>
          </w:tcPr>
          <w:p>
            <w:pPr>
              <w:jc w:val="center"/>
              <w:ind w:left="50"/>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Series B Warrant dated July 26, 2024. (Filed on July 29, 2024 as an exhibit to our Current Report on Form 8-K and incorporated by</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reference.)</w:t>
              </w:r>
            </w:hyperlink>
          </w:p>
        </w:tc>
        <w:tc>
          <w:tcPr>
            <w:tcW w:w="9660" w:type="dxa"/>
            <w:vAlign w:val="bottom"/>
            <w:tcBorders>
              <w:top w:val="single" w:sz="8" w:color="0000EE"/>
            </w:tcBorders>
            <w:gridSpan w:val="16"/>
          </w:tcPr>
          <w:p>
            <w:pPr>
              <w:spacing w:after="0"/>
              <w:rPr>
                <w:sz w:val="17"/>
                <w:szCs w:val="17"/>
                <w:color w:val="auto"/>
              </w:rPr>
            </w:pPr>
          </w:p>
        </w:tc>
      </w:tr>
      <w:tr>
        <w:trPr>
          <w:trHeight w:val="412"/>
        </w:trPr>
        <w:tc>
          <w:tcPr>
            <w:tcW w:w="240" w:type="dxa"/>
            <w:vAlign w:val="bottom"/>
            <w:gridSpan w:val="2"/>
          </w:tcPr>
          <w:p>
            <w:pPr>
              <w:spacing w:after="0"/>
              <w:rPr>
                <w:sz w:val="24"/>
                <w:szCs w:val="24"/>
                <w:color w:val="auto"/>
              </w:rPr>
            </w:pPr>
          </w:p>
        </w:tc>
        <w:tc>
          <w:tcPr>
            <w:tcW w:w="420" w:type="dxa"/>
            <w:vAlign w:val="bottom"/>
            <w:gridSpan w:val="5"/>
          </w:tcPr>
          <w:p>
            <w:pPr>
              <w:jc w:val="center"/>
              <w:ind w:right="100"/>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hyperlink>
          </w:p>
        </w:tc>
        <w:tc>
          <w:tcPr>
            <w:tcW w:w="140" w:type="dxa"/>
            <w:vAlign w:val="bottom"/>
          </w:tcPr>
          <w:p>
            <w:pPr>
              <w:spacing w:after="0"/>
              <w:rPr>
                <w:sz w:val="24"/>
                <w:szCs w:val="24"/>
                <w:color w:val="auto"/>
              </w:rPr>
            </w:pPr>
          </w:p>
        </w:tc>
        <w:tc>
          <w:tcPr>
            <w:tcW w:w="10440" w:type="dxa"/>
            <w:vAlign w:val="bottom"/>
            <w:gridSpan w:val="1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Placement Agent Warrant dated July 26, 2024. (Filed on July 29, 2024 as an exhibit to our Current Report on Form 8-K and</w:t>
              </w:r>
            </w:hyperlink>
          </w:p>
        </w:tc>
      </w:tr>
      <w:tr>
        <w:trPr>
          <w:trHeight w:val="196"/>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incorporated by reference.)</w:t>
              </w:r>
            </w:hyperlink>
          </w:p>
        </w:tc>
        <w:tc>
          <w:tcPr>
            <w:tcW w:w="7580" w:type="dxa"/>
            <w:vAlign w:val="bottom"/>
            <w:tcBorders>
              <w:top w:val="single" w:sz="8" w:color="0000EE"/>
            </w:tcBorders>
            <w:gridSpan w:val="11"/>
          </w:tcPr>
          <w:p>
            <w:pPr>
              <w:spacing w:after="0"/>
              <w:rPr>
                <w:sz w:val="17"/>
                <w:szCs w:val="17"/>
                <w:color w:val="auto"/>
              </w:rPr>
            </w:pPr>
          </w:p>
        </w:tc>
        <w:tc>
          <w:tcPr>
            <w:tcW w:w="900" w:type="dxa"/>
            <w:vAlign w:val="bottom"/>
            <w:gridSpan w:val="3"/>
          </w:tcPr>
          <w:p>
            <w:pPr>
              <w:spacing w:after="0"/>
              <w:rPr>
                <w:sz w:val="17"/>
                <w:szCs w:val="17"/>
                <w:color w:val="auto"/>
              </w:rPr>
            </w:pPr>
          </w:p>
        </w:tc>
      </w:tr>
      <w:tr>
        <w:trPr>
          <w:trHeight w:val="412"/>
        </w:trPr>
        <w:tc>
          <w:tcPr>
            <w:tcW w:w="800" w:type="dxa"/>
            <w:vAlign w:val="bottom"/>
            <w:gridSpan w:val="8"/>
          </w:tcPr>
          <w:p>
            <w:pPr>
              <w:jc w:val="cente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440" w:type="dxa"/>
            <w:vAlign w:val="bottom"/>
            <w:gridSpan w:val="1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2024 Equity Incentive Plan (Filed on November 27, 2024 as an appendix to our definitive proxy statement on Schedule 14A and incorporated</w:t>
              </w:r>
            </w:hyperlink>
          </w:p>
        </w:tc>
      </w:tr>
      <w:tr>
        <w:trPr>
          <w:trHeight w:val="196"/>
        </w:trPr>
        <w:tc>
          <w:tcPr>
            <w:tcW w:w="1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herein by reference.)</w:t>
              </w:r>
            </w:hyperlink>
          </w:p>
        </w:tc>
        <w:tc>
          <w:tcPr>
            <w:tcW w:w="8940" w:type="dxa"/>
            <w:vAlign w:val="bottom"/>
            <w:tcBorders>
              <w:top w:val="single" w:sz="8" w:color="0000EE"/>
            </w:tcBorders>
            <w:gridSpan w:val="15"/>
          </w:tcPr>
          <w:p>
            <w:pPr>
              <w:spacing w:after="0"/>
              <w:rPr>
                <w:sz w:val="17"/>
                <w:szCs w:val="17"/>
                <w:color w:val="auto"/>
              </w:rPr>
            </w:pPr>
          </w:p>
        </w:tc>
      </w:tr>
      <w:tr>
        <w:trPr>
          <w:trHeight w:val="412"/>
        </w:trPr>
        <w:tc>
          <w:tcPr>
            <w:tcW w:w="800" w:type="dxa"/>
            <w:vAlign w:val="bottom"/>
            <w:gridSpan w:val="8"/>
          </w:tcPr>
          <w:p>
            <w:pPr>
              <w:jc w:val="cente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440" w:type="dxa"/>
            <w:vAlign w:val="bottom"/>
            <w:gridSpan w:val="1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2012 Stock Incentive Plan. (Filed on October 18, 2022 as an appendix to our definitive proxy statement on Schedule</w:t>
              </w:r>
            </w:hyperlink>
          </w:p>
        </w:tc>
      </w:tr>
      <w:tr>
        <w:trPr>
          <w:trHeight w:val="196"/>
        </w:trPr>
        <w:tc>
          <w:tcPr>
            <w:tcW w:w="1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14A and incorporated herein by reference.)</w:t>
              </w:r>
            </w:hyperlink>
          </w:p>
        </w:tc>
        <w:tc>
          <w:tcPr>
            <w:tcW w:w="73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52"/>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gridSpan w:val="12"/>
          </w:tcPr>
          <w:p>
            <w:pPr>
              <w:ind w:left="4740"/>
              <w:spacing w:after="0"/>
              <w:rPr>
                <w:sz w:val="20"/>
                <w:szCs w:val="20"/>
                <w:color w:val="auto"/>
              </w:rPr>
            </w:pPr>
            <w:r>
              <w:rPr>
                <w:rFonts w:ascii="Times New Roman" w:cs="Times New Roman" w:eastAsia="Times New Roman" w:hAnsi="Times New Roman"/>
                <w:sz w:val="18"/>
                <w:szCs w:val="18"/>
                <w:color w:val="auto"/>
              </w:rPr>
              <w:t>57</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59" w:name="page60"/>
    <w:bookmarkEnd w:id="59"/>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40" w:type="dxa"/>
            <w:vAlign w:val="bottom"/>
            <w:gridSpan w:val="7"/>
          </w:tcPr>
          <w:p>
            <w:pPr>
              <w:jc w:val="center"/>
              <w:ind w:right="140"/>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0440" w:type="dxa"/>
            <w:vAlign w:val="bottom"/>
            <w:gridSpan w:val="13"/>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Stock Option Agreement for Employees under Amended and Restated 2012 Stock Incentive Plan (Filed on March 31, 2022 as an</w:t>
              </w:r>
            </w:hyperlink>
          </w:p>
        </w:tc>
      </w:tr>
      <w:tr>
        <w:trPr>
          <w:trHeight w:val="196"/>
        </w:trPr>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4480" w:type="dxa"/>
            <w:vAlign w:val="bottom"/>
            <w:tcBorders>
              <w:top w:val="single" w:sz="8" w:color="0000EE"/>
            </w:tcBorders>
            <w:gridSpan w:val="7"/>
          </w:tcPr>
          <w:p>
            <w:pPr>
              <w:spacing w:after="0"/>
              <w:rPr>
                <w:sz w:val="17"/>
                <w:szCs w:val="17"/>
                <w:color w:val="auto"/>
              </w:rPr>
            </w:pPr>
          </w:p>
        </w:tc>
      </w:tr>
      <w:tr>
        <w:trPr>
          <w:trHeight w:val="412"/>
        </w:trPr>
        <w:tc>
          <w:tcPr>
            <w:tcW w:w="640" w:type="dxa"/>
            <w:vAlign w:val="bottom"/>
            <w:gridSpan w:val="7"/>
          </w:tcPr>
          <w:p>
            <w:pPr>
              <w:jc w:val="center"/>
              <w:ind w:right="140"/>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440" w:type="dxa"/>
            <w:vAlign w:val="bottom"/>
            <w:gridSpan w:val="13"/>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Stock Option Agreement for Executive Officers under Amended and Restated 2012 Stock Incentive Plan (Filed on March 31, 2022 as</w:t>
              </w:r>
            </w:hyperlink>
          </w:p>
        </w:tc>
      </w:tr>
      <w:tr>
        <w:trPr>
          <w:trHeight w:val="196"/>
        </w:trPr>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an exhibit to our Annual Report on Form 10-K and incorporated herein by reference).</w:t>
              </w:r>
            </w:hyperlink>
          </w:p>
        </w:tc>
        <w:tc>
          <w:tcPr>
            <w:tcW w:w="4260" w:type="dxa"/>
            <w:vAlign w:val="bottom"/>
            <w:tcBorders>
              <w:top w:val="single" w:sz="8" w:color="0000EE"/>
            </w:tcBorders>
            <w:gridSpan w:val="6"/>
          </w:tcPr>
          <w:p>
            <w:pPr>
              <w:spacing w:after="0"/>
              <w:rPr>
                <w:sz w:val="17"/>
                <w:szCs w:val="17"/>
                <w:color w:val="auto"/>
              </w:rPr>
            </w:pPr>
          </w:p>
        </w:tc>
      </w:tr>
      <w:tr>
        <w:trPr>
          <w:trHeight w:val="412"/>
        </w:trPr>
        <w:tc>
          <w:tcPr>
            <w:tcW w:w="640" w:type="dxa"/>
            <w:vAlign w:val="bottom"/>
            <w:gridSpan w:val="7"/>
          </w:tcPr>
          <w:p>
            <w:pPr>
              <w:jc w:val="center"/>
              <w:ind w:right="140"/>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0440" w:type="dxa"/>
            <w:vAlign w:val="bottom"/>
            <w:gridSpan w:val="13"/>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Stock Option Agreement for Directors under Amended and Restated 2012 Stock Incentive Plan (Filed on March 31, 2022 as an exhibit</w:t>
              </w:r>
            </w:hyperlink>
          </w:p>
        </w:tc>
      </w:tr>
      <w:tr>
        <w:trPr>
          <w:trHeight w:val="196"/>
        </w:trPr>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to our Annual Report on Form 10-K and incorporated herein by reference).</w:t>
              </w:r>
            </w:hyperlink>
          </w:p>
        </w:tc>
        <w:tc>
          <w:tcPr>
            <w:tcW w:w="5020" w:type="dxa"/>
            <w:vAlign w:val="bottom"/>
            <w:tcBorders>
              <w:top w:val="single" w:sz="8" w:color="0000EE"/>
            </w:tcBorders>
            <w:gridSpan w:val="8"/>
          </w:tcPr>
          <w:p>
            <w:pPr>
              <w:spacing w:after="0"/>
              <w:rPr>
                <w:sz w:val="17"/>
                <w:szCs w:val="17"/>
                <w:color w:val="auto"/>
              </w:rPr>
            </w:pPr>
          </w:p>
        </w:tc>
      </w:tr>
      <w:tr>
        <w:trPr>
          <w:trHeight w:val="412"/>
        </w:trPr>
        <w:tc>
          <w:tcPr>
            <w:tcW w:w="400" w:type="dxa"/>
            <w:vAlign w:val="bottom"/>
            <w:gridSpan w:val="4"/>
          </w:tcPr>
          <w:p>
            <w:pPr>
              <w:jc w:val="cente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3"/>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Securities Purchase Agreement by and among the Company and the Investors dated March 15, 2020. (Filed on March 16, 2020 as an exhibit to</w:t>
              </w:r>
            </w:hyperlink>
          </w:p>
        </w:tc>
      </w:tr>
      <w:tr>
        <w:trPr>
          <w:trHeight w:val="19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our Current Report on Form 8-K and incorporated herein by reference.)</w:t>
              </w:r>
            </w:hyperlink>
          </w:p>
        </w:tc>
        <w:tc>
          <w:tcPr>
            <w:tcW w:w="5280" w:type="dxa"/>
            <w:vAlign w:val="bottom"/>
            <w:tcBorders>
              <w:top w:val="single" w:sz="8" w:color="0000EE"/>
            </w:tcBorders>
            <w:gridSpan w:val="9"/>
          </w:tcPr>
          <w:p>
            <w:pPr>
              <w:spacing w:after="0"/>
              <w:rPr>
                <w:sz w:val="17"/>
                <w:szCs w:val="17"/>
                <w:color w:val="auto"/>
              </w:rPr>
            </w:pPr>
          </w:p>
        </w:tc>
      </w:tr>
      <w:tr>
        <w:trPr>
          <w:trHeight w:val="412"/>
        </w:trPr>
        <w:tc>
          <w:tcPr>
            <w:tcW w:w="500" w:type="dxa"/>
            <w:vAlign w:val="bottom"/>
            <w:gridSpan w:val="6"/>
          </w:tcPr>
          <w:p>
            <w:pPr>
              <w:jc w:val="cente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40" w:type="dxa"/>
            <w:vAlign w:val="bottom"/>
          </w:tcPr>
          <w:p>
            <w:pPr>
              <w:spacing w:after="0"/>
              <w:rPr>
                <w:sz w:val="24"/>
                <w:szCs w:val="24"/>
                <w:color w:val="auto"/>
              </w:rPr>
            </w:pPr>
          </w:p>
        </w:tc>
        <w:tc>
          <w:tcPr>
            <w:tcW w:w="10440" w:type="dxa"/>
            <w:vAlign w:val="bottom"/>
            <w:gridSpan w:val="13"/>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Offer Letter dated September 30, 2022, by and between the Company and Raymond F. Vennare. (Filed on October 20, 2022 as an</w:t>
              </w:r>
            </w:hyperlink>
          </w:p>
        </w:tc>
      </w:tr>
      <w:tr>
        <w:trPr>
          <w:trHeight w:val="196"/>
        </w:trPr>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exhibit to our Current Report on Form 8-K).</w:t>
              </w:r>
            </w:hyperlink>
          </w:p>
        </w:tc>
        <w:tc>
          <w:tcPr>
            <w:tcW w:w="72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40" w:type="dxa"/>
            <w:vAlign w:val="bottom"/>
            <w:gridSpan w:val="7"/>
          </w:tcPr>
          <w:p>
            <w:pPr>
              <w:jc w:val="center"/>
              <w:ind w:right="140"/>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0440" w:type="dxa"/>
            <w:vAlign w:val="bottom"/>
            <w:gridSpan w:val="13"/>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Employment Agreement dated effective November 1, 2022, by and between the Company and Raymond F. Vennare. (Filed on October 20, 2022</w:t>
              </w:r>
            </w:hyperlink>
          </w:p>
        </w:tc>
      </w:tr>
      <w:tr>
        <w:trPr>
          <w:trHeight w:val="196"/>
        </w:trPr>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as an exhibit to our Current Report on Form 8-K).</w:t>
              </w:r>
            </w:hyperlink>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0" w:type="dxa"/>
            <w:vAlign w:val="bottom"/>
            <w:gridSpan w:val="3"/>
          </w:tcPr>
          <w:p>
            <w:pPr>
              <w:spacing w:after="0"/>
              <w:rPr>
                <w:sz w:val="24"/>
                <w:szCs w:val="24"/>
                <w:color w:val="auto"/>
              </w:rPr>
            </w:pPr>
          </w:p>
        </w:tc>
        <w:tc>
          <w:tcPr>
            <w:tcW w:w="320" w:type="dxa"/>
            <w:vAlign w:val="bottom"/>
          </w:tcPr>
          <w:p>
            <w:pPr>
              <w:jc w:val="cente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3"/>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Separation Agreement dated February 9, 2026, by and between the Company and Raymond Vennare. (Filed on February 9, 2026 as an exhibit to</w:t>
              </w:r>
            </w:hyperlink>
          </w:p>
        </w:tc>
      </w:tr>
      <w:tr>
        <w:trPr>
          <w:trHeight w:val="19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our Current Report on Form 8-K).</w:t>
              </w:r>
            </w:hyperlink>
          </w:p>
        </w:tc>
        <w:tc>
          <w:tcPr>
            <w:tcW w:w="4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460" w:type="dxa"/>
            <w:vAlign w:val="bottom"/>
            <w:gridSpan w:val="5"/>
          </w:tcPr>
          <w:p>
            <w:pPr>
              <w:jc w:val="center"/>
              <w:ind w:right="60"/>
              <w:spacing w:after="0"/>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40" w:type="dxa"/>
            <w:vAlign w:val="bottom"/>
          </w:tcPr>
          <w:p>
            <w:pPr>
              <w:spacing w:after="0"/>
              <w:rPr>
                <w:sz w:val="24"/>
                <w:szCs w:val="24"/>
                <w:color w:val="auto"/>
              </w:rPr>
            </w:pPr>
          </w:p>
        </w:tc>
        <w:tc>
          <w:tcPr>
            <w:tcW w:w="10440" w:type="dxa"/>
            <w:vAlign w:val="bottom"/>
            <w:gridSpan w:val="13"/>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Employment Agreement dated February 9, 2026, by and between the Company and Christopher Miglino. (Filed on February 9, 2026 as an</w:t>
              </w:r>
            </w:hyperlink>
          </w:p>
        </w:tc>
      </w:tr>
      <w:tr>
        <w:trPr>
          <w:trHeight w:val="196"/>
        </w:trPr>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exhibit to our Current Report on Form 8-K).</w:t>
              </w:r>
            </w:hyperlink>
          </w:p>
        </w:tc>
        <w:tc>
          <w:tcPr>
            <w:tcW w:w="6780" w:type="dxa"/>
            <w:vAlign w:val="bottom"/>
            <w:tcBorders>
              <w:top w:val="single" w:sz="8" w:color="0000EE"/>
            </w:tcBorders>
            <w:gridSpan w:val="8"/>
          </w:tcPr>
          <w:p>
            <w:pPr>
              <w:spacing w:after="0"/>
              <w:rPr>
                <w:sz w:val="17"/>
                <w:szCs w:val="17"/>
                <w:color w:val="auto"/>
              </w:rPr>
            </w:pPr>
          </w:p>
        </w:tc>
        <w:tc>
          <w:tcPr>
            <w:tcW w:w="460" w:type="dxa"/>
            <w:vAlign w:val="bottom"/>
            <w:gridSpan w:val="3"/>
          </w:tcPr>
          <w:p>
            <w:pPr>
              <w:spacing w:after="0"/>
              <w:rPr>
                <w:sz w:val="17"/>
                <w:szCs w:val="17"/>
                <w:color w:val="auto"/>
              </w:rPr>
            </w:pPr>
          </w:p>
        </w:tc>
      </w:tr>
      <w:tr>
        <w:trPr>
          <w:trHeight w:val="412"/>
        </w:trPr>
        <w:tc>
          <w:tcPr>
            <w:tcW w:w="440" w:type="dxa"/>
            <w:vAlign w:val="bottom"/>
            <w:gridSpan w:val="5"/>
          </w:tcPr>
          <w:p>
            <w:pPr>
              <w:jc w:val="center"/>
              <w:spacing w:after="0"/>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3"/>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Stock Option Inducement Award Agreement. (Filed on February 9, 2026 as an exhibit to our Current Report on Form 8-K).</w:t>
              </w:r>
            </w:hyperlink>
          </w:p>
        </w:tc>
      </w:tr>
      <w:tr>
        <w:trPr>
          <w:trHeight w:val="412"/>
        </w:trPr>
        <w:tc>
          <w:tcPr>
            <w:tcW w:w="60" w:type="dxa"/>
            <w:vAlign w:val="bottom"/>
            <w:gridSpan w:val="2"/>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jc w:val="cente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Code of Ethics. (Filed on April 16, 2012 as an exhibit to our Annual Report on Form 10-K and incorporated herein by reference.)</w:t>
              </w:r>
            </w:hyperlink>
          </w:p>
        </w:tc>
        <w:tc>
          <w:tcPr>
            <w:tcW w:w="920" w:type="dxa"/>
            <w:vAlign w:val="bottom"/>
            <w:gridSpan w:val="4"/>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0" w:right="520" w:firstLine="116"/>
        <w:spacing w:after="0" w:line="500" w:lineRule="auto"/>
        <w:tabs>
          <w:tab w:leader="none" w:pos="801" w:val="left"/>
        </w:tabs>
        <w:numPr>
          <w:ilvl w:val="0"/>
          <w:numId w:val="24"/>
        </w:numPr>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Insider Trading Policy (Filed on March 31, 2025 as an exhibit to our Annual Report on Form 10-K and incorporated herein by reference.)</w:t>
        </w:r>
      </w:hyperlink>
      <w:r>
        <w:rPr>
          <w:rFonts w:ascii="Times New Roman" w:cs="Times New Roman" w:eastAsia="Times New Roman" w:hAnsi="Times New Roman"/>
          <w:sz w:val="18"/>
          <w:szCs w:val="18"/>
          <w:u w:val="single" w:color="auto"/>
          <w:color w:val="0000EE"/>
        </w:rPr>
        <w:t xml:space="preserve"> 21.1* Subsidiaries of the Registrant</w:t>
      </w:r>
    </w:p>
    <w:p>
      <w:pPr>
        <w:spacing w:after="0" w:line="1" w:lineRule="exact"/>
        <w:rPr>
          <w:rFonts w:ascii="Times New Roman" w:cs="Times New Roman" w:eastAsia="Times New Roman" w:hAnsi="Times New Roman"/>
          <w:sz w:val="18"/>
          <w:szCs w:val="18"/>
          <w:u w:val="single" w:color="auto"/>
          <w:color w:val="0000EE"/>
        </w:rPr>
      </w:pPr>
    </w:p>
    <w:p>
      <w:pPr>
        <w:ind w:left="2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23.1*  Consent of Independent Registered Public Accounting Firm: KPMG, LLP</w:t>
      </w:r>
    </w:p>
    <w:p>
      <w:pPr>
        <w:spacing w:after="0" w:line="225" w:lineRule="exact"/>
        <w:rPr>
          <w:rFonts w:ascii="Times New Roman" w:cs="Times New Roman" w:eastAsia="Times New Roman" w:hAnsi="Times New Roman"/>
          <w:sz w:val="18"/>
          <w:szCs w:val="18"/>
          <w:u w:val="single" w:color="auto"/>
          <w:color w:val="0000EE"/>
        </w:rPr>
      </w:pPr>
    </w:p>
    <w:p>
      <w:pPr>
        <w:ind w:left="2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31.1*  Certification of Principal Executive Officer required by Rule 13a-14(a)</w:t>
      </w:r>
    </w:p>
    <w:p>
      <w:pPr>
        <w:spacing w:after="0" w:line="225" w:lineRule="exact"/>
        <w:rPr>
          <w:rFonts w:ascii="Times New Roman" w:cs="Times New Roman" w:eastAsia="Times New Roman" w:hAnsi="Times New Roman"/>
          <w:sz w:val="18"/>
          <w:szCs w:val="18"/>
          <w:u w:val="single" w:color="auto"/>
          <w:color w:val="0000EE"/>
        </w:rPr>
      </w:pPr>
    </w:p>
    <w:p>
      <w:pPr>
        <w:ind w:left="2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31.2*  Certification of Principal Financial Officer required by Rule 13a-14(a)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32.1*** Section 1350 Certifications</w:t>
      </w:r>
    </w:p>
    <w:p>
      <w:pPr>
        <w:spacing w:after="0" w:line="225" w:lineRule="exact"/>
        <w:rPr>
          <w:sz w:val="20"/>
          <w:szCs w:val="20"/>
          <w:color w:val="auto"/>
        </w:rPr>
      </w:pPr>
    </w:p>
    <w:p>
      <w:pPr>
        <w:ind w:left="800" w:right="20" w:hanging="484"/>
        <w:spacing w:after="0" w:line="282" w:lineRule="auto"/>
        <w:tabs>
          <w:tab w:leader="none" w:pos="800" w:val="left"/>
        </w:tabs>
        <w:numPr>
          <w:ilvl w:val="0"/>
          <w:numId w:val="25"/>
        </w:numPr>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Policy Relating to Recovery of Erroneously Awarded Compensation (Filed on March 28, 2024 as an exhibit to our Annual Report on Form 10-K</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225" w:lineRule="exact"/>
        <w:rPr>
          <w:rFonts w:ascii="Times New Roman" w:cs="Times New Roman" w:eastAsia="Times New Roman" w:hAnsi="Times New Roman"/>
          <w:sz w:val="18"/>
          <w:szCs w:val="18"/>
          <w:u w:val="single" w:color="auto"/>
          <w:color w:val="0000EE"/>
        </w:rPr>
      </w:pPr>
    </w:p>
    <w:p>
      <w:pPr>
        <w:ind w:left="20"/>
        <w:spacing w:after="0"/>
        <w:rPr>
          <w:sz w:val="20"/>
          <w:szCs w:val="20"/>
          <w:color w:val="auto"/>
        </w:rPr>
      </w:pPr>
      <w:r>
        <w:rPr>
          <w:rFonts w:ascii="Times New Roman" w:cs="Times New Roman" w:eastAsia="Times New Roman" w:hAnsi="Times New Roman"/>
          <w:sz w:val="18"/>
          <w:szCs w:val="18"/>
          <w:color w:val="auto"/>
        </w:rPr>
        <w:t>101.SCH*Inline XBRL Taxonomy Extension Schema Document</w:t>
      </w:r>
    </w:p>
    <w:p>
      <w:pPr>
        <w:spacing w:after="0" w:line="225" w:lineRule="exact"/>
        <w:rPr>
          <w:rFonts w:ascii="Times New Roman" w:cs="Times New Roman" w:eastAsia="Times New Roman" w:hAnsi="Times New Roman"/>
          <w:sz w:val="18"/>
          <w:szCs w:val="18"/>
          <w:u w:val="single" w:color="auto"/>
          <w:color w:val="0000EE"/>
        </w:rPr>
      </w:pPr>
    </w:p>
    <w:p>
      <w:pPr>
        <w:ind w:left="20"/>
        <w:spacing w:after="0"/>
        <w:rPr>
          <w:sz w:val="20"/>
          <w:szCs w:val="20"/>
          <w:color w:val="auto"/>
        </w:rPr>
      </w:pPr>
      <w:r>
        <w:rPr>
          <w:rFonts w:ascii="Times New Roman" w:cs="Times New Roman" w:eastAsia="Times New Roman" w:hAnsi="Times New Roman"/>
          <w:sz w:val="18"/>
          <w:szCs w:val="18"/>
          <w:color w:val="auto"/>
        </w:rPr>
        <w:t>101.CAL*Inline XBRL Taxonomy Extension Calculation Linkbase Document</w:t>
      </w:r>
    </w:p>
    <w:p>
      <w:pPr>
        <w:spacing w:after="0" w:line="225" w:lineRule="exact"/>
        <w:rPr>
          <w:rFonts w:ascii="Times New Roman" w:cs="Times New Roman" w:eastAsia="Times New Roman" w:hAnsi="Times New Roman"/>
          <w:sz w:val="18"/>
          <w:szCs w:val="18"/>
          <w:u w:val="single" w:color="auto"/>
          <w:color w:val="0000EE"/>
        </w:rPr>
      </w:pPr>
    </w:p>
    <w:p>
      <w:pPr>
        <w:ind w:left="4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25" w:lineRule="exact"/>
        <w:rPr>
          <w:rFonts w:ascii="Times New Roman" w:cs="Times New Roman" w:eastAsia="Times New Roman" w:hAnsi="Times New Roman"/>
          <w:sz w:val="18"/>
          <w:szCs w:val="18"/>
          <w:u w:val="single" w:color="auto"/>
          <w:color w:val="0000EE"/>
        </w:rPr>
      </w:pPr>
    </w:p>
    <w:p>
      <w:pPr>
        <w:ind w:left="20"/>
        <w:spacing w:after="0"/>
        <w:rPr>
          <w:sz w:val="20"/>
          <w:szCs w:val="20"/>
          <w:color w:val="auto"/>
        </w:rPr>
      </w:pPr>
      <w:r>
        <w:rPr>
          <w:rFonts w:ascii="Times New Roman" w:cs="Times New Roman" w:eastAsia="Times New Roman" w:hAnsi="Times New Roman"/>
          <w:sz w:val="18"/>
          <w:szCs w:val="18"/>
          <w:color w:val="auto"/>
        </w:rPr>
        <w:t>101.LAB*Inline XBRL Taxonomy Extension Label Linkbase Document</w:t>
      </w:r>
    </w:p>
    <w:p>
      <w:pPr>
        <w:spacing w:after="0" w:line="225" w:lineRule="exact"/>
        <w:rPr>
          <w:rFonts w:ascii="Times New Roman" w:cs="Times New Roman" w:eastAsia="Times New Roman" w:hAnsi="Times New Roman"/>
          <w:sz w:val="18"/>
          <w:szCs w:val="18"/>
          <w:u w:val="single" w:color="auto"/>
          <w:color w:val="0000EE"/>
        </w:rPr>
      </w:pPr>
    </w:p>
    <w:p>
      <w:pPr>
        <w:ind w:left="4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25" w:lineRule="exact"/>
        <w:rPr>
          <w:rFonts w:ascii="Times New Roman" w:cs="Times New Roman" w:eastAsia="Times New Roman" w:hAnsi="Times New Roman"/>
          <w:sz w:val="18"/>
          <w:szCs w:val="18"/>
          <w:u w:val="single" w:color="auto"/>
          <w:color w:val="0000EE"/>
        </w:rPr>
      </w:pPr>
    </w:p>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104*</w:t>
        <w:tab/>
        <w:t>Cover Page Interactive Data File (formatted as Inline XBRL and contained in Exhibit 101)</w:t>
      </w:r>
    </w:p>
    <w:p>
      <w:pPr>
        <w:spacing w:after="0" w:line="22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**Compensatory Plan or arrangement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7"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Axe Compute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r>
      <w:tr>
        <w:trPr>
          <w:trHeight w:val="191"/>
        </w:trPr>
        <w:tc>
          <w:tcPr>
            <w:tcW w:w="580" w:type="dxa"/>
            <w:vAlign w:val="bottom"/>
          </w:tcPr>
          <w:p>
            <w:pPr>
              <w:spacing w:after="0"/>
              <w:rPr>
                <w:sz w:val="16"/>
                <w:szCs w:val="16"/>
                <w:color w:val="auto"/>
              </w:rPr>
            </w:pPr>
          </w:p>
        </w:tc>
        <w:tc>
          <w:tcPr>
            <w:tcW w:w="10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Miglino</w:t>
            </w:r>
          </w:p>
        </w:tc>
      </w:tr>
      <w:tr>
        <w:trPr>
          <w:trHeight w:val="234"/>
        </w:trPr>
        <w:tc>
          <w:tcPr>
            <w:tcW w:w="580" w:type="dxa"/>
            <w:vAlign w:val="bottom"/>
          </w:tcPr>
          <w:p>
            <w:pPr>
              <w:spacing w:after="0"/>
              <w:rPr>
                <w:sz w:val="20"/>
                <w:szCs w:val="20"/>
                <w:color w:val="auto"/>
              </w:rPr>
            </w:pP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Miglino</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Chuck Nuzum</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4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Handley, Ph.D.</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 Ph.D.</w:t>
            </w:r>
          </w:p>
        </w:tc>
        <w:tc>
          <w:tcPr>
            <w:tcW w:w="4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St. Clair Sr.</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Gregory St. Clair Sr.</w:t>
            </w:r>
          </w:p>
        </w:tc>
        <w:tc>
          <w:tcPr>
            <w:tcW w:w="4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Theodore Zhu, Ph.D.</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Theodore Zhu, Ph.D.</w:t>
            </w:r>
          </w:p>
        </w:tc>
        <w:tc>
          <w:tcPr>
            <w:tcW w:w="4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Hawryluk, Ph.D.</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Matthew Hawryluk, Ph.D.</w:t>
            </w:r>
          </w:p>
        </w:tc>
        <w:tc>
          <w:tcPr>
            <w:tcW w:w="4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Thorsten Dirks</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Thorsten Dirks</w:t>
            </w:r>
          </w:p>
        </w:tc>
        <w:tc>
          <w:tcPr>
            <w:tcW w:w="4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846"/>
        </w:trPr>
        <w:tc>
          <w:tcPr>
            <w:tcW w:w="3240" w:type="dxa"/>
            <w:vAlign w:val="bottom"/>
          </w:tcPr>
          <w:p>
            <w:pPr>
              <w:spacing w:after="0"/>
              <w:rPr>
                <w:sz w:val="24"/>
                <w:szCs w:val="24"/>
                <w:color w:val="auto"/>
              </w:rPr>
            </w:pPr>
          </w:p>
        </w:tc>
        <w:tc>
          <w:tcPr>
            <w:tcW w:w="44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59</w:t>
            </w:r>
          </w:p>
        </w:tc>
        <w:tc>
          <w:tcPr>
            <w:tcW w:w="3600" w:type="dxa"/>
            <w:vAlign w:val="bottom"/>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audited consolidated financial statements for the periods ended December 31, 2025, and December 31, 2024, are included on the following pages: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9940" w:type="dxa"/>
            <w:vAlign w:val="bottom"/>
            <w:gridSpan w:val="7"/>
            <w:vMerge w:val="continue"/>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Reports of Independent Registered Public Accounting Firm (KPMG, LLP, Pittsburgh, PA (US Firm), PCAOB Firm ID #185)</w:t>
            </w:r>
          </w:p>
        </w:tc>
        <w:tc>
          <w:tcPr>
            <w:tcW w:w="920" w:type="dxa"/>
            <w:vAlign w:val="bottom"/>
          </w:tcPr>
          <w:p>
            <w:pPr>
              <w:spacing w:after="0"/>
              <w:rPr>
                <w:sz w:val="16"/>
                <w:szCs w:val="16"/>
                <w:color w:val="auto"/>
              </w:rPr>
            </w:pPr>
          </w:p>
        </w:tc>
        <w:tc>
          <w:tcPr>
            <w:tcW w:w="13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F-2</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92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F-3</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Net Loss</w:t>
            </w:r>
          </w:p>
        </w:tc>
        <w:tc>
          <w:tcPr>
            <w:tcW w:w="7260" w:type="dxa"/>
            <w:vAlign w:val="bottom"/>
            <w:gridSpan w:val="5"/>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F-4</w:t>
            </w:r>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(Deficit)</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320" w:type="dxa"/>
            <w:vAlign w:val="bottom"/>
            <w:gridSpan w:val="2"/>
          </w:tcPr>
          <w:p>
            <w:pPr>
              <w:spacing w:after="0"/>
              <w:rPr>
                <w:sz w:val="17"/>
                <w:szCs w:val="17"/>
                <w:color w:val="auto"/>
              </w:rPr>
            </w:pPr>
          </w:p>
        </w:tc>
        <w:tc>
          <w:tcPr>
            <w:tcW w:w="5740" w:type="dxa"/>
            <w:vAlign w:val="bottom"/>
            <w:gridSpan w:val="2"/>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F-6</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780" w:type="dxa"/>
            <w:vAlign w:val="bottom"/>
            <w:gridSpan w:val="3"/>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F-7</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Axe Compute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Axe Compute Inc. and subsidiaries (the Company) as of December 31, 2025 and December 31, 2024, the related consolidated statements of net loss, stockholders’ equity (deficit), and cash flows for each of the years in the two-year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two-year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audit evidence pertaining to the existence of and rights to digital assets and digital asset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1, 2, and 5 to the consolidated financial statements, the Company held digital assets and a digital asset receivable as part of its Treasury Strategy. The digital assets are held with a custodian that safeguards the Company’s private keys. The Company accounts for its digital assets and digital asset receivable, net of the embedded derivative at fair value. As of December 31, 2025, the fair value of the Company’s digital assets was $24.4 million and the digital asset receivable was $15.5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evaluation of audit evidence pertaining to the existence of and rights to the Company’s digital assets and digital asset receivable as a critical audit matter. A high degree of auditor judgment was involved in determining the nature and extent of the procedures performed and audit evidence obtained to assess the existence of and the Company’s rights to the digital assets and digital asset receivable.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implementation of certain internal controls over the existence of and rights to the digital assets and digital asset receivable, including certain controls over authorization of transactions, safeguarding of digital assets, and reconciliation of digital asset and digital asset receivable balances. We obtained confirmation of the Company’s digital assets and digital asset receivable held with the third-party custodian and third-party contract administrator of December 31, 2025 and compared the confirmed balances to the Company’s records. We compared the digital asset receivable’s vesting terms to the terms of the related smart contracts and to the confirmation obtained from the contract administrator. We also compared the Company’s record of digital asset holdings and transactions to the records on the public blockchain using a proprietary software audit tool. We obtained evidence that management maintains control and access to the digital assets by observing a sample transactional withdrawal of the digital assets subsequent to year-end using the related private keys. Additionally, we evaluated the reliability of audit evidence obtained from public blockchains.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366"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AXE COMPUTE INC.</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10,790,850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611,822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24,439,598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 receivable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7,226,475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1,261,403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42,769,947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2,225,918</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 receivable, net of current portion</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347,588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1,487,703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2,047,241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149,433</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202,337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52,888,346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4,972,517</w:t>
            </w: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LIABILITIES AND STOCKHOLDERS’ (DEFICIT)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1,840,608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1,044,394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1,520,518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1,236,378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653,743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555,169</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533,384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4,266,896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3,593,401</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1,558,239</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23,487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5,171,391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5,175,127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 (see Note 9)</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20,000,000 shares authorized inclusive of designated below</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$.01 par value, 2,300,000 shares authorized, 79,246 shares outstanding</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December 31, 2024</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$.01 par value, 200,000,000 shares authorized, 4,083,173 and 444,475 shares outstanding as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2025, and December 31, 2024, respectively</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461,196,805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180,218,424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(413,521,474)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(180,426,271)</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47,716,955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(202,610)</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52,888,346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4,972,517</w:t>
            </w:r>
          </w:p>
        </w:tc>
      </w:tr>
      <w:tr>
        <w:trPr>
          <w:trHeight w:val="425"/>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5"/>
              </w:rPr>
              <w:t>F-3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84,812</w:t>
            </w:r>
          </w:p>
        </w:tc>
      </w:t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digital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(152,490,550)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78,285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25,924,358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7,235,797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2,147,222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2,241,461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406,247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833,199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28,550,449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10,388,742</w:t>
            </w: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(180,915,715)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(10,303,930)</w:t>
            </w:r>
          </w:p>
        </w:tc>
      </w:tr>
      <w:tr>
        <w:trPr>
          <w:trHeight w:val="210"/>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(52,735,000)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(232,853,647)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(10,224,655)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(241,556)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(2,439,733)</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(233,095,203)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(12,664,388)</w:t>
            </w:r>
          </w:p>
        </w:tc>
      </w:tr>
      <w:tr>
        <w:trPr>
          <w:trHeight w:val="19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10"/>
        </w:trPr>
        <w:tc>
          <w:tcPr>
            <w:tcW w:w="80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 basic and diluted</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17,429,861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363,583</w:t>
            </w:r>
          </w:p>
        </w:tc>
      </w:tr>
      <w:tr>
        <w:trPr>
          <w:trHeight w:val="414"/>
        </w:trPr>
        <w:tc>
          <w:tcPr>
            <w:tcW w:w="80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AXE COMPUTE INC.</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21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21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270,863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$ 176,030,162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(167,761,883)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8,271,780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to non-employees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2,597</w:t>
            </w:r>
          </w:p>
        </w:tc>
        <w:tc>
          <w:tcPr>
            <w:tcW w:w="1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99,227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99,253</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At-The-</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financing, net of issuance costs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107,140</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3,120,931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3,122,002</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Warrant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Inducement Transaction, net of issuance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63,875</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966,961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967,600</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net of</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(12,664,388)</w:t>
            </w: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444,475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4,445</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$ 180,218,424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(180,426,271)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(202,610)</w:t>
            </w:r>
          </w:p>
        </w:tc>
      </w:tr>
      <w:tr>
        <w:trPr>
          <w:trHeight w:val="191"/>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739,508</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1,598,532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1,605,927</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Direct Offering, net of</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24,223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465,063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465,305</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Renovaro Extension Agreement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31,153</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499,688</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non-</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as compensation</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6,667</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99,933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 At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The Market Offering, net of issuance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139,680</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1,528,826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1,530,223</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 private placement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18,692</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299,813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Yorkville SEPA commitment fee</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8,033</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99,920</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2025 private placement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36,237</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412,731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413,093</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Round up of fractional shares pursuant to</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reverse stock split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72,745</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pre-funded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pursuant to October 2025 private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placements, net of issuance costs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2,511,552</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25,116</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259,650,812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259,675,928</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warrants to DNA Holdings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Venture pursuant to Strategic Advisor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15,350,146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15,350,146</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restricted stock units vesting</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50,208</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(58,369)</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net of</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1,032,515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1,032,515</w:t>
            </w:r>
          </w:p>
        </w:tc>
      </w:tr>
      <w:tr>
        <w:trPr>
          <w:trHeight w:val="216"/>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(233,095,203)</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(233,095,203)</w:t>
            </w: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792</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4,083,173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40,832</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$ 461,196,805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(413,521,474)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47,716,955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operating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(233,095,203)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(12,664,388)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(2,439,733)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(232,853,647)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(10,224,655)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495,869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 off of aged accounts payable and accrued expenses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expense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common stock and warrants issued to nonemployees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15,550,146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52,735,000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digital assets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152,490,550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intangible assets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4,738</w:t>
            </w:r>
          </w:p>
        </w:tc>
      </w:tr>
      <w:tr>
        <w:trPr>
          <w:trHeight w:val="216"/>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45,795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119,687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(555,170)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(407,060)</w:t>
            </w: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(9,876,039)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(10,103,084)</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investing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purchased</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(32,616,819)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r>
      <w:tr>
        <w:trPr>
          <w:trHeight w:val="210"/>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continuing financing activities: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56,005,986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4,960,562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to issue common stock and warrants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(4,048,995)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financing note payable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(425,506)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taxes related to net share settlement of restricted stock units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continuing financing activities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52,006,573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3,939,194</w:t>
            </w:r>
          </w:p>
        </w:tc>
      </w:tr>
      <w:tr>
        <w:trPr>
          <w:trHeight w:val="209"/>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(1,852,587)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(1,820,587)</w:t>
            </w: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10,056,177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(7,993,987)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from continuing operations at beginning of period</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611,822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8,357,294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from discontinued operations at beginning of period</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371,366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from discontinued operations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from continuing operations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10,790,850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611,822</w:t>
            </w:r>
          </w:p>
        </w:tc>
      </w:tr>
      <w:tr>
        <w:trPr>
          <w:trHeight w:val="210"/>
        </w:trPr>
        <w:tc>
          <w:tcPr>
            <w:tcW w:w="80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for cash flow information:</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11,466</w:t>
            </w:r>
          </w:p>
        </w:tc>
      </w:t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received pursuant to securities purchase agreements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62,973,982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 receivable received pursuant to securities purchase agreements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96,824,502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ATH claimed from Digital Asset Receivable</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3,445,865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vested restricted stock units, net of shares withheld for taxes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in connection with reverse stock split</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transferred from discontinued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596"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Axe Compute Inc. (“Axe Compute” or the “Company”) undertook a significant strategic shift in late 2025 when the Company adopted a digital asset treasury strategy (the “Treasury Strategy”) focused on the Aethir token (“ATH”), the native utility token of the Aethir network. Following the adoption of the Treasury Strategy, the Company began accumulating ATH in October 2025, and later in 2025, the Company expanded its business strategy to include a compute business under the Axe Compute brand, under which the Company seeks to provide customers with access to graphics processing unit (“GPU”) compute capacity for artificial intelligence (“AI”) and other high-performance computing workloads through a distributed network model, including infrastructure made available through the Aethir network. Collectively, these activities are referred to as the Compute Services and Treasury Management operating segment. Consistent with the evolution of the Company’s business strategy, the Company was renamed from Predictive Oncology Inc. to Axe Compute Inc. on December 11, 2025.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Axe Compute also continues to operate its legacy oncology drug discovery solutions business designed to support the discovery and development of optimal cancer therapies. In the legacy business, the Company uses AI and its proprietary biobank of 150,000+ tumor samples, categorized by tumor type, to provide actionable insights about drug compounds to improve the drug discovery process and increase the probability of drug compound success. The Company also creates and develops tumor-specific 3D cell culture models mimicking the physiological environment of human tissue, enabling better-informed decision-making during drug development. In February 2026, the Company announced that it is exploring strategic alternatives for this oncology drug discovery solutions business, but the Company’s Board of Directors has not committed to a specific course of action. Accordingly, the oncology drug discovery solutions business did not meet the criteria under Financial Accounting Standards Board (the “FASB”) Accounting Standards Codification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be classified as discontinued operations and held for sale, and therefore is reflected as continuing operations within these consolidated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2025, the Company’s former Eagan operating segment, which produced the FDA-cleared STREAMWAY System and associated products for automated medical fluid waste management and patient-to-drain medical fluid disposal, met the criteria to be reported as discontinued operations.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discussion.</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further discussion of the Company’s operating segments as of and for the year ended December 31, 2025,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Aethir Treasury Strategy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2025, the Company announced the launch of its Treasury Strategy focused on ATH. Aethir is a leading decentralized physical infrastructure network developed by DCI Foundation, a Panama foundation company (“DCI”), that provides a decentralized graphics processing unit (“GPU”) network, connecting producers and consumers of GPU compute power at enterprise scale, supporting applications such as artificial intelligence computation, gaming and cloud workloads. ATH, the native token of the Aethir network, is a utility token used for GPU rentals, staking, validation and the provision of network rewards on the Aethir network.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Treasury Strategy, the Company intends to continue acquiring additional ATH in the open market and intends to earn yield on its ATH treasury holdings by engaging in ATH staking and other activities, though the Company had not yet commenced any staking activities as of December 31, 2025. As a holder of ATH, the Company accrues unrealized gains or losses from any appreciation or depreciation, as applicable, in the value of ATH tokens, which trade on various cryptocurrency exchanges.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is focusing its resources on the Treasury Strategy and a significant portion of the Company’s balance sheet will be allocated to holding ATH pursuant to its Treasury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Treasury Strategy is primarily dedicated to ATH, and the Company does not intend to accumulate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The Company’s Treasury Strategy is intended to bring value to its stockholders through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proceeds from equity and debt financings to purchase and hold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the majority of the ATH in the Company’s treasury to earn a staking yield and turn the treasury into a productive asset;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ATH at a discount to the current spot price;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the Company’s ATH holdings, whether on the open market, through block trades, or other negotiated transactions, for various reasons and at various times, including, in order to fund its working capital and general corporate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subheading “Risks and Uncertainties” below for further discussion regarding risks related to the Company’s Treasury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Since the adoption of the Company’s Treasury Strategy, the Company has raised capital through private investment in public equity (“PIPE”) transactions and at-the-market (“ATM”) sales of shares of common stock. The Company has deployed the majority of the cash proceeds from these transactions to acquire ATH. Additional details regarding these equity offerings are included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These capital raises have strengthened the Company’s liquidity position, and the $10.8 million of cash and cash equivalents remaining as of December 31, 2025, together with $24.4 million of digital assets, represent readily accessible sources of liquidity. The Company believes its sources of liquidity will be sufficient to allow the Company to fund its planned operations for at least the next twelve months from the date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2025, the Company’s stockholders approved an amendment to the Company’s certificate of incorporation, as amended, to effect a one-for-fifteen reverse stock split of the Company’s common stock. On September 29, 2025, the Company completed a one-for-fifteen reverse stock split that was effective for trading purposes on September 30, 2025 (the “Reverse Stock Split”). All numbers of shares and per-share amounts in this report have been adjusted to reflect the Reverse Stock Split.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every 15 shares of issued and outstanding common stock were combined into one issued and outstanding share of common stock, without any change in the par value per share. No fractional shares were issued as a result of the Reverse Stock Split and any fractional shares that would otherwise have resulted from the Reverse Stock Split were rounded up to the nearest whole share. The Reverse Stock Split did not change the total number of authorized shares of common stock or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20, 2024, the Company was notified by the Listing Qualifications Department (the “Staff”) of The Nasdaq Stock Market LLC (“Nasdaq”) that the Company was not in compliance with the minimum stockholders’ equity requirement for continued listing on The Nasdaq Capital Market as set forth in Nasdaq Listing Rule 5550(b)(1) (the “Stockholders’ Equity Requirement”), because the Company’s stockholders’ equity of $1,966,969, as reported in the Company’s Quarterly Report on Form 10-Q for the quarterly period ended September 30, 2024, was below the required minimum of $2.5 million. On June 9, 2025, the Company received a letter (the “Notice”) from the Staff of Nasdaq notifying the Company that because the Company had not regained compliance with the Stockholders’ Equity Requirement, the Staff had determined to delist the Company’s securities from The Nasdaq Capital Market. On June 11, 2025, the Company submitted a request for a hearing before Nasdaq’s Hearings Panel (the “Panel”), which stayed the suspension of the Company’s securities. A hearing before the Panel was held on July 17, 2025, where the Company presented plans for regaining and maintaining compliance with the continued listing standards and requested an exception from the continued listing standards through December 8, 2025, to provide the Company the ability to evidence compliance with the standards.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2025, the Company received a letter from the Staff indicating that the bid price for its common stock had closed below $1.00 per share for 30 consecutive business days, and that the Company was therefore not in compliance with the minimum bid price requirement for continued listing under Nasdaq Marketplace Rule 5550(a)(2) (the “Minimum Bid Price Requirement”). The notification had no immediate effect on the listing of the Company’s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was notified by Nasdaq that the Panel had granted the Company’s request for continued listing on The Nasdaq Capital Market pursuant to an extension through December 8, 2025, to demonstrate compliance with all continued listing requirements, including the Stockholders’ Equity Requirement and Minimum Bid Price Requirement.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2025, the Company completed the Reverse Stock Split, which was effective for trading purposes on September 30, 2025. As a result, the Company’s stock price increased significantly, and the Company regained compliance with the Minimum Bid Price Requirement as confirmed by the Staff via a letter dated October 14,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 2025, the Company received formal notice from the Panel notifying the Company that it was in compliance with the Stockholders’ Equity Requirement. Accordingly, the previously disclosed listing matter has been closed. Nasdaq’s notice further stated that pursuant to Listing Rule 5815(d)(4) (B), the Company will be subject to a mandatory panel monitor for a period of one year from December 1, 2025. If, within that one-year monitoring period, the Staff finds the Company again out of compliance with the Stockholders’ Equity Requirement, notwithstanding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Nasdaq Listing Rule 5810(c)(3). Instead, the Staff will issue a delist determination letter and the Company will have an opportunity to request a new hearing with the initial Panel or a newly convened hearings panel if the initial Panel is unavailable.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accordance with GAAP and the rules and regulations of the Securities and Exchange Commission (“SEC”) for consolidated financial statements. Certain prior period amounts have been reclassified to conform to the current period presentation. The reclassified amounts had no impact on the Company’s previously reported financial position or results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two wholly owned subsidiaries, Helomics Corporation and Skyline Medical Inc. (“Skyline Medical”), as of and for the years ended December 31, 2025 and 2024. Skyline Medical remained a wholly owned subsidiary of Axe Compute following the March 14, 2025 asset purchase agreement between the Company and DeRoyal Industries, Inc., but the subsidiary’s ongoing activities are limited to wind down activities which were substantially completed as of December 31, 2025. The consolidated financial statements include the accounts of the Company and these wholly owned subsidiaries after elimination of intercompany transactions and balances as of and for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revenues and expenses and disclosure of contingent assets and liabilities at the date of the consolidated financial statements and during the reporting period. Actual results could materially differ from those estimates. Estimates are used in the following areas, among others: stock-based compensation expense, fair value of derivatives including embedded derivatives, fair value of digital assets, fair value of long-lived assets for impairment analyses, the valuation allowance included in the deferred income tax calculation, and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disposed of its former Eagan and Birmingham operating segments during the years ended December 31, 2025, and 2024, respectively. Disposal groups that meet the discontinued operations criteria provided in the FASB ASC 205-20-45 are classified as discontinued operations. Assets and liabilities of discontinued operations are presented separately in the Company’s consolidated balance sheets and results of discontinued operations are reported as a separate component of net loss in the Company’s consolidated statements of net loss for all periods presented, resulting in changes to the presentation of certain prior period amounts. Results of discontinued operations are excluded from segment results for all periods presented. Cash flows from discontinued operations are also reported separately in the Company’s consolidated statements of cash flows.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additional discussion of discontinued operations. All other notes to these consolidated financial statements present the results of continuing operations and exclude amounts related to discontinued operations for all periods presented.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with maturities when purchased of three months or less to be cash equivalents. The Company places its cash with high quality financial institutions and believes its risk of loss is limited to amounts in excess of that which is insured by the Federal Deposit Insurance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outlined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where there is little or no market data, which requires the reporting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observable market data in making fair value measurements, when available. Fair value measurements are classified according to the lowest level input that is significant to the valuation.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fair value measurements of the Company’s derivatives were determined based on Level 3 inputs. The Company uses the Monte Carlo method and other acceptable valuation methodologies when valuing embedded features classified as derivatives on a recurring basis.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Digital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are reported at the amount the Company expects to collect on balances outstanding. The Company provides for probable uncollectible amounts through charges to earnings and credits to the valuation allowance based on management’s assessment of the status of individual accounts.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recorded in accounts receivable on the consolidated balance sheets include amounts billed and currently due from customers. The amounts due are stated at their net estimated realizable value. An allowance is maintained to provide for the estimated amount of receivables that will not be collected. The Company determines the allowance based on historical experience as well as external business factors expected to impact collectability such as economic factors. The Company reviews customers’ credit history before extending unsecured credit and establishes an allowance based upon factors surrounding the credit risk of specific customers, historical trends, and other information. Invoices are generally due 30 days after presentation. Accounts receivable over 30 days is generally considered past due. The Company does not accrue interest on past due accounts receivables. Receivables are written off once all collection attempts have failed and are based on individual credit evaluation and specific circumstances of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primarily consist of cash and cash equivalents and accounts receivable. The Company maintains its cash and cash equivalent balances with high quality financial institutions and, consequently, the Company believes that such funds are subject to minimal credit risk. The Company is exposed to credit risk in the event of default by the financial institutions to the extent amounts recorded on the consolidated balance sheets are in excess of insured limits. The Company has not experienced any credit losses in such accounts and does not believe it is exposed to any significant credit risk on these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Company’s digital assets primarily include holdings of ATH, which are measured at fair value in accordance with ASC 350-60,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Crypto Assets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reflects digital assets held at fair value on the consolidated balance sheets within the line item “Digital assets.” Changes in the fair value of digital assets are recognized in the consolidated statements of net loss within “Gains (losses) on digital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uses OKX as its principal market for ATH and measures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using quoted prices (Level 1 inputs) at 11:59PM EST each day. The Company applies a first-in, first-out methodology to assign cost for determining realized gains and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Purchases and sales of ATH are reflected as cash flows from investing activities in the consolidated statements of cash flows. Contributions of ATH received in connection with the equity offering transactions are presented as non-cash financing activities in the consolidated statements of cash flows. Contributions of ATH received from DCI are presented within adjustments to reconcile net loss to net cash used in operating activities in the consolidated statements of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Digital Assets</w:t>
      </w:r>
      <w:r>
        <w:rPr>
          <w:rFonts w:ascii="Times New Roman" w:cs="Times New Roman" w:eastAsia="Times New Roman" w:hAnsi="Times New Roman"/>
          <w:sz w:val="18"/>
          <w:szCs w:val="18"/>
          <w:color w:val="auto"/>
        </w:rPr>
        <w:t xml:space="preserve"> for 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asset receivable represents the Company’s contractual right to receive ATH tokens in the future upon satisfaction of time-based vesting conditions. Because the Company does not control the underlying ATH tokens prior to vesting and claim, the locked ATH tokens are accounted for as a receivable rather than as a digital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consolidated balance sheet, the host receivable component is presented as “Digital asset receivable.” The fair value of tokens that unlock within twelve months from December 31, 2025 is classified as a current asset, while the fair value of the remainder of locked tokens is classified as a noncurrent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embedded derivative associated with the digital asset receivable, reflecting the changes in fair value of the ATH to be received, is presented within the same line item as the host receivable and is measured at fair value at each reporting date. Changes in the fair value of the embedded derivative are recognized in the consolidated statements of net loss within “Gains (losses) on digital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using the straight-line method over the estimated useful lives of the respective assets. Estimated useful asset life by classification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8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3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(1)</w:t>
            </w:r>
          </w:p>
        </w:tc>
        <w:tc>
          <w:tcPr>
            <w:tcW w:w="3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Leasehold improvements are amortized over the shorter of the useful life or the remaining lease term.</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retirement or sale of property and equipment, the cost and related accumulated depreciation are removed from the consolidated balance sheet and the resulting gain or loss is reflected in operations. Maintenance and repairs are charged to operations expense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reviews long-lived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recoverability of an asset to be held and used is determined by comparing the carrying amount to the estimated undiscounted future cash flows expected to be generated by the asset. If the carrying amount of the asset exceeds its estimated undiscounted future cash flows, the Company records an impairment charge in the amount by which the carrying amount of the asset exceeds its fair value, which is determined by either a quoted market price, if any, or a value determined utilizing discounted cash flow techniques.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inception of a contract a determination is made whether an arrangement meets the definition of a lease. A contract contains a lease if there is an identified asset, and the Company has the right to control the asset. Operating leases are recorded as right-of-use (“ROU”) assets with corresponding current and noncurrent operating lease liabilities on our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duration of the lease term and lease liabilities represent our obligation to make lease payments arising from the lease. Recognition on the commencement date is based on the present value of lease payments over the lease term using an incremental borrowing rate. Leases with a term of 12 months or less at the commencement date are not recognized on the consolidated balance sheet and are expensed as incurred.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accounted for as a single lease component for all asset classes. Variable lease payments generally represent the Company’s share of the landlord’s expenses and are recorded when incurred. Leases are accounted for at a portfolio level when similar in nature with identical or nearly identical provisions and similar effective dates and lease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revenue when it satisfies a performance obligation by transferring control of the promised goods or services to its customers, in an amount that reflects the consideration the Company expects to be entitled to in exchange for those goods or services. The Company recognizes revenue in accordance with the five-step process outlined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Sales taxes are imposed on the Company’s sales to nonexempt customers. The Company collects the taxes from the customers and remits the entire amount to the governmental authorities. Sales taxes are excluded from revenue and expenses. Advertising costs incurred in the Company’s efforts to obtain new customers are expensed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Services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generates revenues from Contract Research Organization (“CRO”) services related to the development of 3D tumor-specific in vitro models for oncology drug discovery and research. The organ-specific disease models provide 3D reconstruction of human tissues accurately representing each disease state and mimicking drug response.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specific pattern of revenue recognition for CRO services is determined on a case-by-case basis according to the facts and circumstances applicable to a given contract. The Company may execute a master service agreement with a customer that provides terms and conditions for the relationship between the Company and the customer. Detailed Statements of Work (SOWs) are then prepared to outline the specific services to be provided. The SOW and master service agreement, if applicable, form the contract with the customer under ASC 606. The Company evaluates each product or service promised in a contract to determine whether it represents a distinct performance obligation. Determining whether services are considered distinct performance obligations that should be accounted for separately versus together may require significant judgment. Contracts for CRO services generally contain one performance obligation to perform research and deliver appropriate data or reporting. The Company typically requires partial payment for CRO services prior to performance of the research service with the remainder of the transaction price due 30 days after delivery of data or reporting. Revenues from CRO services are generally recognized at the point in time when data and reports are provided to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receivable when it has an unconditional right to receive consideration after the performance obligations are satisfied. Advance payments received in excess of revenues recognized are classified as contract liabilities until such time as the revenue recognition criteria have been met.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not to determine whether contracts with customers contain significant financing components as contracts are generally for less than one year. The Company immediately expenses contract costs that would otherwise be capitalized and amortized over a period of less than one year. The Company recognizes shipping and handling costs at point of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expense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and recognize compensation expense in the financial statements based on the fair value at the date of grant for stock-based awards. The Company recognizes compensation expense for service-based equity-classified awards over their requisite service period and adjusts for forfeitures as they occur.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ASC 718 requires companies to estimate the fair value of stock-based payment awards on the date of grant using an option-pricing model. The Company uses the Black-Scholes option-pricing model which requires the input of significant assumptions including an estimate of the average period of time employees and directors will retain vested stock options before exercising them, the estimated volatility of the Company’s common stock price over the expected term, and the risk-free interest rate.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option or warrant is granted in place of cash compensation for services, the Company deems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the Company also uses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the Company’s common stock price over the expected term, and the risk-free interest rate. In the case of options granted to employees, the Company estimates the life to be the legal term.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assumptions can materially affect the estimate of fair value of stock-based compensation and, consequently, the related expense recognizes that. The Company’s common stock has been traded on the NASDAQ Capital Market exchange since 2015 and the Company has experienced significant volatility in its stock price. The assumptions used in calculating the fair value of stock-based payment awards represent the Company’s best estimates, which involve inherent uncertainties and the application of management's judgment. As a result, if factors change and the Company uses different assumptions, its stock-based compensation expense could be materially different in the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sequencing policy under ASC 815-40-35 that will apply if reclassification of contracts from equity to liabilities is necessary. If the Company is unable to demonstrate it has sufficient authorized shares, shares will be allocated based on the earliest issuance date of potentially dilutive financial instruments, with the earliest financial instruments receiving the first allocation of shares. Pursuant to ASC 815, stock-based awards issued to the Company’s employees are not subject to the sequencing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These costs include employee compensation costs, facilities and overhead, cloud computing costs, and other expenses incurred related to the pursuit of new products and services or enhancements to existing products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Internal Revenue Code Section 382, certain stock transactions that significantly change ownership could limit the amount of net operating carryforwards that may be utilized on an annual basis to offset taxable income in future periods. Consequently, the Company performed a Section 382 analysis as of December 31, 2025, which resulted in the limitation and expiration of a substantial portion of the Company’s loss carryforwards. In addition, the current net operating loss (“NOL”) carryforwards might be further limited by future issuances of our common stock.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after 2005 remain open to examination by federal and state tax authorities due to unexpired net operating loss carryforwards.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loss per share is calculated using the weighted average number of shares outstanding during the year. Pre-funded warrants are included in the computation of earnings per share because the exercise price of the pre-funded warrants is nominal and there are no conditions that must be satisfied prior to their exercise. Diluted loss per share reflects the potential dilution of common share equivalents, such as outstanding options and warrants, in the weighted average number of common shares outstanding during the period, if dilutive. The diluted loss per share calculation excludes any potential conversion of options and warrants that would be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various risks including market risk, liquidity risk and other risks related to its concentration in ATH.</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price of ATH has been, and will likely continue to be, highly volatile. Our financial results and the market price of our common stock could be materially adversely affected if the price of ATH decreases substantially, as it has in the past, including as a result of shifts in market sentiment, speculative trading, macroeconomic trends, technology-related disruptions and regulatory announcements.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holds its digital assets with a custodian that safeguards the Company’s private keys. The Company’s digital assets are controllable only by the possessor of both the unique public key and private key(s). The custodial services contracts do not restrict the Company’s ability to reallocate its digital assets among custodians. The Company’s ability to access, transfer, or withdraw its digital assets is therefore not contractually restricted, and the Company is able to convert or reallocate digital assets as needed to meet operating requirements or settle obligations. Cybersecurity threats, including hacking, phishing and other malicious attacks, could result in the loss, theft or misappropriation of our digital assets. If we or our third-party service providers experience a security breach or cyberattack and unauthorized parties obtain access to our private keys, or if our private keys are lost or destroyed, or other similar circumstances or events occur, we may lose some or all of our digital assets and our financial condition and results of operations could be materially adversely affected.</w:t>
      </w:r>
    </w:p>
    <w:p>
      <w:pPr>
        <w:spacing w:after="0" w:line="1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also remains subject to risks associated with the biopharmaceutical industry. Risks include, but are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subject to general economic and geopolitical uncertainties caused by inflation, rising interest rates, supply chain disruptions, tight labor markets, wage inflation, pricing volatility for certain goods and services, banking and financial sector disruptions, instability and volatility in the global markets, disruptions from a global pandemic, and geopolitical conflict. The impacts of economic and other global events could have a material adverse effect on our business, results of operations, liquidity or financial condition and heighten or exacerbate risks related to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evaluated all its activities and concluded that no other subsequent events have occurred that would require recognition in the consolidated financial statements or disclosure in the notes to the consolidated financial statements, except as described above and in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FASB. Recently issued ASUs not listed below either were assessed and determined to be not applicable or are currently expected to have no impact on the consolidated financial statements of the Company.</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ASU requires more detailed disclosures related to certain costs and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requires entities to disclose amounts of certain expense categories included in expense captions presented on the face of the income statement, including purchases of inventory, employee compensation, depreciation, and intangible asset amortization. This ASU is effective for fiscal years beginning after December 15, 2026, and for interim periods beginning after December 15, 2027, with early adoption permitted. The disclosure requirements may be applied either prospectively or retrospectively. Management is currently evaluating this ASU to determine its impact on the Company’s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2025, the Company adopted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which requires certain crypto assets that meet the scope criteria of ASC 350-60 to be measured at fair value, with changes recognized in net income each reporting period. Upon adoption, the Company began presenting in-scope digital assets separately from other intangible assets on the Consolidated Balance Sheets and recognizing unrealized gains and losses from remeasurement within “Gains (losses) on digital assets” in the Consolidated Statements of Net Loss. The Company also provides enhanced disclosures regarding the nature and amount of digital assets held, including the name of each significant digital asset, units held, cost basis, fair value, and the fair value of any digital assets subject to contractual sale restrictions. The adoption of ASU 2023-08 did not result in a cumulative-effect adjustment to opening retained earnings due to the commencement of the Company’s ATH Treasury Strategy in September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2025, the Company adopted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expanded disaggregation of income tax information to enhance transparency and comparability. As a result, the Company now presents a more detailed reconciliation of the U.S. federal statutory income tax rate to the Company’s effective tax rate, including separate disclosure of state and local income taxes, foreign tax effects, tax credits, valuation allowance changes, nondeductible items, and changes in unrecognized tax benefits. The Company also discloses income taxes paid (net of refunds) disaggregated by federal, state, and significant foreign jurisdictions, including any individual jurisdiction that represents 5% or more of total income taxes paid. In addition, the Company now presents pretax income (loss) and income tax expense (benefit) disaggregated between domestic and foreign operations, with separate disclosure for any significant individual foreign jurisdictions. The Company adopted ASU 2023-09 on a retrospective basis.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DISCONTINUED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the Company’s Board of Directors approved a plan to implement a strategic cost savings initiative, primarily related to the Company’s Birmingham laboratory. In September 2024, the Company transferred certain pieces of computer hardware with alternative use to the Pittsburgh laboratory, which conducts the Company’s oncology drug discovery business, while the rest of the laboratory equipment and inventories from the Birmingham laboratory were marketed for sale and the related product and service lines were discontinued. The Company executed a sales agreement for all remaining laboratory equipment and inventories from the Birmingham laboratory and all items were removed from the laboratory premises as of September 30, 2024. As of September 30, 2024, the Company vacated and ceased use of the Birmingham laboratory and office space. The Company’s lease continued through August 2025. The Company concluded that, in aggregate, the disposal of the assets comprising the former Birmingham operating segment met the criteria for discontinued operations presentation in the third quarter of 2024.</w:t>
      </w:r>
    </w:p>
    <w:p>
      <w:pPr>
        <w:sectPr>
          <w:pgSz w:w="11900" w:h="16838" w:orient="portrait"/>
          <w:cols w:equalWidth="0" w:num="1">
            <w:col w:w="11240"/>
          </w:cols>
          <w:pgMar w:left="320" w:top="576" w:right="339" w:bottom="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color w:val="auto"/>
        </w:rPr>
        <w:t>On March 14, 2025, the Company entered into an asset purchase agreement (the “APA”)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the Company’s STREAMWAY® product line (the “Eagan Business”). These assets were operated by the Company’s wholly owned subsidiary, Skyline Medical, and were previously reported in the Company’s Eagan operating segment. The purchased assets exclusively related to the Eagan Business included but were not limited to cash, certain accounts receivable, inventories, patents, fixed assets, and real property leased by the Company and exclusively used in connection with the Eagan Business. The total purchase price for the purchased assets was $625,000, plus the assumption of certain liabilities related to the Eagan Business including the lease for the office and warehouse space located at 2915 Commers Drive Suite 900 Eagan, MN 55121, certain accounts payable, and contract liabilities associated with the Eagan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developments, the former Birmingham and Eagan operating segments have been reclassified to discontinued operations in these condensed consolidated financial statements for all periods presented.</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carrying amounts of the major classes of assets and liabilities to the current assets and liabilities of discontinued operations as presented in the Company’s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20" w:type="dxa"/>
            <w:vAlign w:val="bottom"/>
          </w:tcPr>
          <w:p>
            <w:pPr>
              <w:spacing w:after="0"/>
              <w:rPr>
                <w:sz w:val="20"/>
                <w:szCs w:val="20"/>
                <w:color w:val="auto"/>
              </w:rPr>
            </w:pPr>
          </w:p>
        </w:tc>
        <w:tc>
          <w:tcPr>
            <w:tcW w:w="4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8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122,851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746,266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339,968</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34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52,318</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1,261,403</w:t>
            </w:r>
          </w:p>
        </w:tc>
      </w:tr>
      <w:tr>
        <w:trPr>
          <w:trHeight w:val="216"/>
        </w:trPr>
        <w:tc>
          <w:tcPr>
            <w:tcW w:w="45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21,882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159,158</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17,266</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4,031</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48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1,463,740</w:t>
            </w:r>
          </w:p>
        </w:tc>
      </w:tr>
      <w:tr>
        <w:trPr>
          <w:trHeight w:val="210"/>
        </w:trPr>
        <w:tc>
          <w:tcPr>
            <w:tcW w:w="45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2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248,086</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80,909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4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106,609</w:t>
            </w: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533,384</w:t>
            </w:r>
          </w:p>
        </w:tc>
      </w:tr>
      <w:tr>
        <w:trPr>
          <w:trHeight w:val="216"/>
        </w:trPr>
        <w:tc>
          <w:tcPr>
            <w:tcW w:w="4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23,487</w:t>
            </w: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556,871</w:t>
            </w:r>
          </w:p>
        </w:tc>
      </w:tr>
      <w:tr>
        <w:trPr>
          <w:trHeight w:val="426"/>
        </w:trPr>
        <w:tc>
          <w:tcPr>
            <w:tcW w:w="4520" w:type="dxa"/>
            <w:vAlign w:val="bottom"/>
          </w:tcPr>
          <w:p>
            <w:pPr>
              <w:spacing w:after="0"/>
              <w:rPr>
                <w:sz w:val="24"/>
                <w:szCs w:val="24"/>
                <w:color w:val="auto"/>
              </w:rPr>
            </w:pPr>
          </w:p>
        </w:tc>
        <w:tc>
          <w:tcPr>
            <w:tcW w:w="482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F-15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7" w:name="page78"/>
    <w:bookmarkEnd w:id="77"/>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about the major classes of line items constituting the loss from discontinued operations presented in the Company’s consolidated statements of net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157,179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1,571,795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122,800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751,147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from discontinued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820,648</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1,039,950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Operations, research and development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1,115,595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637,400</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466,373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2,792,945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 from discontinued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(1,972,297)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17,987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(2,439,733)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gain on disposal of discontinued operations for the year ended December 31, 2025 represents the gain on assets sold and liabilities assumed by DeRoyal related to the former Eagan operating segment. The loss on disposal of discontinued operations for the year ended December 31, 2024 represents the loss on impairment of assets sold, including laboratory equipment and inventories, and impairment of other non-current assets related to the former Birmingham operating segment.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CONTRACTS WITH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receivable when it has an unconditional right to receive consideration after the performance obligations are satisfied. As of December 31, 2025, and 2024, accounts receivable totaled $32,120 and $34,154, respectively. The allowance for accounts receivable balance was $0 as of both December 31, 2025, and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Advance payments received in excess of revenues recognized are classified as contract liabilities until such time as the revenue recognition criteria have been met. The Company’s contract liabilities, related primarily to development of 3D models, were $144,076 and $224,076 as of December 31, 2025, and 2024, respectively. During the year ended December 31, 2025, the Company recognized revenue of $80,000 from contract liabilities recorded as of December 31, 2024, primarily related to deposits for development of 3D models. The Company’s contract liabilities as of December 31, 2025, represent its remaining performance obligations.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DIGITAL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digital assets, as shown on the consolidated balance sheet as of December 31, 2025, were primarily comprised of ATH. The following table sets forth the units held, cost basis, and fair value of ATH held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Units Held</w:t>
            </w:r>
          </w:p>
        </w:tc>
        <w:tc>
          <w:tcPr>
            <w:tcW w:w="34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32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ATH</w:t>
            </w:r>
          </w:p>
        </w:tc>
        <w:tc>
          <w:tcPr>
            <w:tcW w:w="4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2,837,163,868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101,258,178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24,439,334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basis is equal to the cost (purchase price) of the digital assets, including transaction fees, if any, at the time of purchase or upon receipt. Fair value represents the quoted digital asset prices within the Company’s principal market at the measurement time (11:59 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reconciliation of digital assets held, for ATH specific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r>
      <w:tr>
        <w:trPr>
          <w:trHeight w:val="216"/>
        </w:trPr>
        <w:tc>
          <w:tcPr>
            <w:tcW w:w="44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4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January 1, 2025</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Unlocked ATH received from investors</w:t>
            </w:r>
          </w:p>
        </w:tc>
        <w:tc>
          <w:tcPr>
            <w:tcW w:w="5360" w:type="dxa"/>
            <w:vAlign w:val="bottom"/>
          </w:tcPr>
          <w:p>
            <w:pPr>
              <w:spacing w:after="0"/>
              <w:rPr>
                <w:sz w:val="17"/>
                <w:szCs w:val="17"/>
                <w:color w:val="auto"/>
              </w:rPr>
            </w:pPr>
          </w:p>
        </w:tc>
        <w:tc>
          <w:tcPr>
            <w:tcW w:w="14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62,973,982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ATH contributed by DCI pursuant to Side Letter</w:t>
            </w:r>
          </w:p>
        </w:tc>
        <w:tc>
          <w:tcPr>
            <w:tcW w:w="53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2,230,949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ATH claimed from digital asset receivable</w:t>
            </w:r>
          </w:p>
        </w:tc>
        <w:tc>
          <w:tcPr>
            <w:tcW w:w="53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3,445,865</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ATH</w:t>
            </w:r>
          </w:p>
        </w:tc>
        <w:tc>
          <w:tcPr>
            <w:tcW w:w="53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32,607,382</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5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 (loss)</w:t>
            </w:r>
          </w:p>
        </w:tc>
        <w:tc>
          <w:tcPr>
            <w:tcW w:w="5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(76,818,844)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December 31, 2025</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24,439,334</w:t>
            </w:r>
          </w:p>
        </w:tc>
      </w:tr>
      <w:tr>
        <w:trPr>
          <w:trHeight w:val="648"/>
        </w:trPr>
        <w:tc>
          <w:tcPr>
            <w:tcW w:w="4480" w:type="dxa"/>
            <w:vAlign w:val="bottom"/>
          </w:tcPr>
          <w:p>
            <w:pPr>
              <w:spacing w:after="0"/>
              <w:rPr>
                <w:sz w:val="24"/>
                <w:szCs w:val="24"/>
                <w:color w:val="auto"/>
              </w:rPr>
            </w:pPr>
          </w:p>
        </w:tc>
        <w:tc>
          <w:tcPr>
            <w:tcW w:w="536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F-16</w:t>
            </w:r>
          </w:p>
        </w:tc>
        <w:tc>
          <w:tcPr>
            <w:tcW w:w="1400" w:type="dxa"/>
            <w:vAlign w:val="bottom"/>
          </w:tcPr>
          <w:p>
            <w:pPr>
              <w:spacing w:after="0"/>
              <w:rPr>
                <w:sz w:val="24"/>
                <w:szCs w:val="24"/>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149"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Side Letter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placements completed in October 2025 to support the Treasury Strategy, the Company entered into a side letter agreement (the “Side Letter”) with DCI, effective as of October 7, 2025. The Side Letter provides, in addition to other rights afforded to the Company, that for each ATH token purchased by the Company on the open market, whether through a centralized exchange or a decentralized exchange operating on the Ethereum Network, DCI will grant to the Company an additional number of ATH tokens equal to 20% of the number of ATH tokens purchased on the open market to be delivered within 30 days of the open market purchase (the “Bonus ATH”). There are no restrictions on the Company’s use of the Bonus ATH once received. The Company accounts for the Side Letter as a derivative instrument. As of December 31, 2025, no derivative asset was recorded because the Company had received from DCI all Bonus ATH due under the Side Letter for open market purchases made during the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received approximately 236 million ATH with a cost basis of $2.2 million pursuant to the Side Letter as a result of open market purchases totaling approximately 1.18 billion ATH. The cost basis of the ATH received pursuant to the Side Letter and subsequent fair value adjustments thereto are recorded within “Gains (losses) on digital assets” on the Consolidated Statements of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the Company’s ATH holdings consists of contractual rights to receive ATH tokens that are subject to time-based vesting and transfer restrictions (“Locked ATH”). Locked ATH was obtained pursuant to Simple Agreements for Future Tokens (“SAFTs”) and is administered through an on-chain smart contract deployed on the Ethereum mainnet. Prior to vesting and claim, the Company does not have control of the underlying ATH tokens and is not able to transfer, sell, stake, pledge, or otherwise deploy such tokens.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smart contract enforces the applicable vesting schedules and restricts access to the ATH tokens until the vesting conditions are satisfied. Upon satisfaction of the vesting conditions, the Company must affirmatively claim the unlocked ATH tokens through the smart contract interface, at which point the tokens are released from restriction and transferred to a Company-controlled wallet. Until such claim occurs, the Locked ATH represents a contractual right to receive ATH in the future rather than a digital asset held by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held rights to receive ATH tokens that remain subject to vesting and claim requirements. The vesting period for these ATH tokens ranges from less than one month to approximately 3 years. These restrictions are specific to the underlying ATH tokens. Upon vesting and claim, the restrictions lapse and the Company obtains control of the ATH tokens, which may then be held, transferred to custodial accounts, staked, or otherwise deployed in accordance with the Company’s Treasury Strategy.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 digital asset receivable $15.5 million related to the Locked ATH comprised of the host receivable recorded at $93.4 million, net of the embedded derivative measured at fair value of $77.9 million. The change in fair value of the embedded derivative of $77.9 million during the year ended December 31, 2025 is recorded in the consolidated statements of net loss within “Gains (losses) on digital assets.”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assets measured at fair value on a recurring basis: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24,439,598</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24,439,598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related to digital asset receivable</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77,893,482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77,893,482</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embedded derivative related to the digital asset receivable must be remeasured at fair value each reporting period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Because there is no directly observable market for illiquid, contractually restricted ATH tokens subject to a time-based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the embedded derivative is classified as Level 3. The key unobservable input is the discount applied to reflect the lack of transferability and control during the restriction period. The discount is determined based on the remaining vesting period from each reporting period to the date on which the tokens become fully vested and available to claim, and is reduced ratably at each subsequent measurement date until it reaches zero at full vesting. As of December 31, 2025, applied discounts ranged from approximately 30% to 55%. Changes in fair value of the embedded derivative are recognized in the consolidated statements of net loss within "Gains (losses) on digital assets." There were no transfers into or out of Level 3 of the fair value hierarchy during the year ended December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AND EQUIPMENT, NET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property and equipment, net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306,961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1,692,230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1,692,230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2,169,541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(1,806,299)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(1,821,953)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223,128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347,588</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recorded within general and administrative expenses of continuing operations, was $124,460 and $127,354 for the years ended December 31, 2025,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charges related to property and equipment held and used in continuing operations were incurred during the years ended December 31, 2025, and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corporate offices and other offices are located in Pittsburgh, Pennsylvania. The leases are effective through February 29, 2028.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under operating lease arrangements, recorded within general and administrative expenses of continuing operations, was $784,674 and $784,873 for the years ended December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information related to the Company’s operating leases used in continuing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38"/>
        </w:trPr>
        <w:tc>
          <w:tcPr>
            <w:tcW w:w="79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31, 2024</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3.16</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operating lease obligations as of December 31, 2025, which include expected lease extensions that are reasonably certain of renewal,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803,724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827,909</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139,022</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1,770,655</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(212,417)</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1,558,238</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In accordance with FASB ASC Topic 450, Contingencies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2025, the Company entered into a binding letter of intent (the “LOI”) with Lunai Bioworks (formerly Renovaro, Inc.) (NASDAQ: LNAI, formerly RENB) (“Renovaro”) for Axe Compute to be acquired by Renovaro (the “Renovaro Merger”). Under the terms of the LOI, Axe Compute would be merged into Renovaro in exchange for a newly created series of preferred stock of Renovaro. On February 28, 2025, Axe Compute entered into an extension agreement with Renovaro (the “Extension Agreement”), pursuant to which the parties amended certain terms of the LOI, including to extend the outside termination date of the LOI from February 28, 2025 to March 31, 2025. No definitive purchase agreement was executed as of March 31, 2025 and the LOI terminated on that date, pursuant to its terms. Axe Compute had no further obligations with respect to the Renovaro Merger, including under the LOI or the Extension Agreement. On April 3, 2025, Axe Compute’s Board of Directors notified Renovaro of the Company’s decision to discontinue discussions regarding the proposed merger between the two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On May 8, 2025, Renovaro filed a lawsuit in Delaware Chancery Court claiming breaches by the Company of the LOI and the Extension Agreement and seeking to compel the Company to enter into a merger agreement with Renovaro. The Company does not believe the lawsuit has merit and continues to contest it vigorously. It is not possible to estimate the amount of any loss or range of possible loss that might result from this lawsuit. However, because the final outcome cannot be predicted with certainty, unfavorable or unexpected developments or outcomes could result in a material impact to the Company’s financial condition and results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NOTE PAYABLE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purchased director and officer insurance policies with a policy period ending June 2026 and financed $264,048 of its total premium by entering into a note payable with a finance provider that requires ten monthly installment payments through April 2026. The note is secured by a first priority lien on the financed policies. The short-term note bears interest at an annual percentage rate of 6.6% over the life of the note. As of December 31, 2025, the outstanding balance of the note was $107,951 including interest.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purchased director and officer insurance policies with a policy period ending June 2025 and financed $275,098 of its total premium by entering into a note payable with a finance provider that required ten monthly installment payments through April 2025. The note was secured by a first priority lien on the financed policies. The short-term note bore interest at an annual percentage rate of 8.0% over the life of the note. As of December 31, 2024, there was no outstanding balance on the note.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2025, the Company entered into a Securities Purchase Agreement (the “Purchase Agreement”) with several institutional and accredited investors for the sale by the Company of 24,223 shares (the “Registered Direct Offering Shares”) of the Company’s common stock, par value $0.01 per share, at a purchase price of $22.50 per share, in a registered direct offering. The offering closed on February 19, 2025. The gross proceeds to the Company from the offering were approximately $545,000, before deducting the placement agent’s fees and other offering expenses. The Registered Direct Offering Shares were offered and sold by the Company pursuant to an effective shelf registration statement on Form S-3 (File No. 333-279123).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agreed to pay H.C. Wainwright &amp; Co., LLC (“Wainwright”), as placement agent, an aggregate fee equal to 7.0% of the gross proceeds received by the Company from the sale of the securities in the offering as well as a management fee equal to 1.0% of such gross proceeds, and $15,000 for fees and expenses of legal counsel. The Company also issued to Wainwright, or its designees, warrants to purchase up to 7.0% of the aggregate number of shares of the Company’s common stock sold in the transactions, or warrants to purchase up to an aggregate of 1,698 shares of the Company’s common stock (the “Registered Direct Offering Placement Agent Warrants”). The Registered Direct Offering Placement Agent Warrants are exercisable for five years from the commencement of sales in the offering and have an exercise price equal to 125% of the purchase price of shares of the Company’s common stock sold in the offering, or $28.13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Renovaro Subscription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2025, the Company executed a share subscription agreement with Renovaro, pursuant to the Extension Agreement dated February 28, 2025, that amended the previous LOI between the parties. Pursuant to the share subscription agreement, Renovaro subscribed to purchase and the Company sold to Renovaro 31,153 unregistered shares of the Company’s common stock at a price of $16.05 per share for a total purchase price of $500,000. The closing of this share issuance occurred on March 17,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2025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2025, the Company executed a share subscription agreement with an institutional and accredited investor for the sale, in a private placement, by the Company of 18,692 shares of the Company’s common stock at a price of $16.05 per share for a total purchase price of $300,000. The closing of this share issuance occurred on June 3,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At The Market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 2024, the Company entered into an ATM Sales Agreement (the “Sales Agreement”) with Wainwright, pursuant to which the Company may offer and sell, from time to time, through Wainwright, shares of its common stock through an “at the market offering” program pursuant to which Wainwright will act as sales agent. Subject to the terms and conditions of the Sales Agreement, Wainwright is permitted to sell the shares by methods deemed to be an “at the market offering” as defined in Rule 415(a)(4) promulgated under the Securities Act of 1933, as amended. The Sales Agreement provides that Wainwright will be entitled to compensation for its services of 3.0% of the gross sales price of all shares sold through Wainwright under the Sales Agreement. The Company is subject to certain restrictions on its ability to offer and sell shares of its common stock under the Sales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2024, following execution of the Sales Agreement, the Company filed with the SEC a shelf registration statement on Form S-3 (the “May 2024 Shelf Registration Statement”). The May 2024 Shelf Registration Statement, as amended, was declared effective by the SEC on May 21, 2024 and included a prospectus supplement (the “Initial ATM Prospectus Supplement”) to the base prospectus related to the offering of up to $3,696,000 of shares of the Company’s common stock under the Sales Agreement. As of May 31, 2024, the Company had offered and sold 107,140 shares of common stock under the Initial ATM Prospectus Supplement for gross proceeds of approximately $3,696,000. The net proceeds from the shares offered and sold in May 2024, after deducting commissions and offering expenses, were approximately $3,122,000.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2025, in accordance with the terms of the Sales Agreement, the Company filed a prospectus supplement to the May 2024 Shelf Registration Statement relating to the offer and sale of up to an additional $1,491,000 of shares of the Company’s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2025, in accordance with the terms of the Sales Agreement, the Company determined to further increase the number of shares it may sell under the Sales Agreement, from the approximately $1,352,000 remaining as of May 31, 2025 up to an aggregate of $3,398,000, and the Company filed an additional prospectus supplement with the SEC on June 2,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2025, in accordance with the terms of the Sales Agreement, the Company determined to further increase the number of shares it may sell under the Sales Agreement, from the approximately $2,292,000 remaining as of September 30, 2025 up to an aggregate of $18,330,000, and the Company filed an additional prospectus supplement with the SEC on October 29,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approximately $18,330,000 remained available to the Company for sales under the Sales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and sold 139,680 shares of common stock under the Sales Agreement resulting in net proceeds to the Company of approximately $1,530,000 after deducting approximately $342,000 in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2025, the Company entered into a standby equity purchase agreement (the “SEPA”) with YA II PN, LTD., a Cayman Islands exempt limited company (“Yorkville”). Pursuant to the SEPA, the Company has the right to sell to Yorkville up to $10 million in shares of its common stock,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In connection with the execution of the SEPA, the Company issued 8,033 shares of its common stock to Yorkville as consideration for its commitment to purchase the Company’s common stock pursuant to the SEPA.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but not the obligation, from time to time at its discretion until the first day of the month following the 36-month period after the date of the SEPA, to direct Yorkville to purchase a specified number of shares of the Company’s common stock (each such sale, an “Advance”) by delivering written notice to Yorkville (each, an “Advance Notice”). The per share purchase price for the shares of common stock, if any, that the Company elects to sell to Yorkville in an Advance pursuant to the SEPA will be determined by reference to the volume weighted average price of the Company’s common stock (the “VWAP”) and calculated in accordance with the SEPA, less a discount of 4.0%. The Company filed a registration statement on Form S-1 for the resale of up to 128,114 shares by Yorkville on July 18, 2025, which was declared effective by the SEC on July 28,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2025, the Company received approval from its stockholders to issue shares of its common stock to Yorkville under the SEPA in excess of 19.99% of the number of shares of common stock outstanding as of the date of the SEPA (the “Exchange Cap”). Yorkville is not obligated to purchase or acquire, and shall not purchase or acquire, any shares of common stock under the SEPA which, when aggregated with all other shares of the Company’s common stock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shares of the Company’s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As of December 31, 2025, the Company had sold no shares pursuant to the SEPA.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2025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26, 2025, the Company entered into a securities purchase agreement with an accredited investor pursuant to which it sold and issued 36,237 shares of its common stock, at a purchase price of $11.40 per share, in a private placement transaction. This offering closed on August 26, 2025 and the Company received gross proceeds of $413,093.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2025 Private Placements and Related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2025, the Company entered into a securities purchase agreement (the “Crypto SPA”) with certain accredited investors pursuant to which the Company agreed to sell and issue to such investors in a private placement (the “Crypto PIPE Offering”) pre-funded warrants (the “Crypto PIPE Warrants”). Also on September 29, 2025, the Company entered into a securities purchase agreement (the “Cash SPA,” and together with the Crypto SPA, the “September SPAs”), pursuant to which it agreed to sell and issue to certain accredited investors, in exchange for cash (the “Cash PIPE Offering,” and together with the Crypto PIPE Offering, the “PIPE Offerings”), the Company’s common stock and warrants (the “Cash PIPE Warrants”). The PIPE Offerings closed October 7, 2025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PIPE and Crypto PIPE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Cash PIPE Offering, the Company sold an aggregate of 4,366,703 shares of common stock (or pre-funded warrants at a nominal $0.01 exercise price per share to purchase shares of common stock, in lieu thereof) to certain accredited investors for $11.6265 per share. Aggregate Cash PIPE Offering proceeds were $50.8 million before issuance fees and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Crypto PIPE, the Company issued, to certain accredited investors, Crypto PIPE Warrants to purchase up to 14,903,393 shares of its common stock at a nominal $0.01 exercise price per share. As consideration for the Crypto PIPE Warrants, the Company received ATH from purchasers, including tokens with certain restrictions (see “Locked ATH” as defined below), with an aggregate notional value and discounted value of $292.7 million and $173.3 million,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Crypto SPA was determined to meet the definition of a derivative in accordance with ASC 815. The settlement amount of the derivative was affected by changes in the USD value of ATH contributed by investors between the effective date of the Crypto SPA on September 29, 2025, and the Closing Date. Because the Crypto SPA obligated the Company to issue a fixed number of shares while the settlement value of those shares was indexed to the price of ATH, the Crypto SPA was classified as a derivative liability and the Company recorded a liability as of September 29, 2025, at its then-fair value with the offsetting entry to earnings. The derivative liability was remeasured as of October 7, 2025 immediately prior to settlement, resulting in a $52.7 million loss recognized within earnings and presented on the consolidated statement of net loss for the year ended December 31, 2025 within “Gain (loss) on derivative instruments.” The derivative liability was fully settled when the Crypto PIPE Offering closed on October 7, 2025, on which date the purchasers in the Crypto PIPE Offering tendered ATH to the Company and the Company issued the Crypto PIPE Warrants to purchasers.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639,449 pre-funded warrants exercised during the year ended December 31, 2025, and the total number of pre-funded warrants outstanding was 16,119,095 as of December 31, 2025, all of which were vested and exercisable and have no expiration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Wainwright Engagement Agreement</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the PIPE Offerings, on October 7, 2025, the Company issued five-year warrants (the “Placement Agent Warrants”) to Wainwright, which was the exclusive placement agent for the transactions. The Placement Agent Warrants entitle Wainwright or its designees to purchase up to 218,335 shares of the Company’s common stock (the “Placement Agent Warrant Shares”), which number of Placement Agent Warrant Shares is equal to 5% of the shares of common stock and Cash Pre-Funded Warrants issued in the Cash PIPE, at an exercise price of $11.6265 per share. The Placement Agent Warrants had a grant date fair value of approximately $2.5 million, which were accounted for as an incremental offering cost and netted against the proceeds from the Cash PIPE. The Company also paid to Wainwright a cash fee of approximately $2.5 million, or 5% of gross cash proceeds of the PIPE Offerings.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Advisor Agreement and Asset Management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Treasury Strategy, on October 7, 2025, the Company entered into a strategic advisor agreement (the “Strategic Advisor Agreement”) under which it engaged DNA as a strategic advisor to provide financial advisory services related to digital asset strategies and business development initiatives. As compensation for DNA’s services, the Company issued five-year warrants (the “Strategic Advisor Warrants”) to DNA to purchase up to 1,348,906 shares of its common stock at an exercise price of $11.6265 per share. The Company further engaged DNA under a 10-year asset management agreement (the “Asset Management Agreement”), pursuant to which DNA will act as the Company’s asset manager with respect to its digital assets. As compensation for its services under the Asset Management Agreement, DNA is entitled to a 1.00% per annum asset-based management fee, plus an incentive fee equal to 25% of profits earned on managed assets over 7%.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further discussion.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Warrant Inducement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25, 2024, the Company entered into definitive agreements with certain of its existing warrant holders for the exercise of warrants to purchase an aggregate of 63,874 shares of its common stock having a current exercise price of $210.00 originally issued in February 2021, June 2021 and May 2022, at a reduced exercise price of $19.80 per share. The gross proceeds to the Company from the exercise of the existing warrants were approximately $1,265,000, prior to deducting placement agent fees and transaction expenses payable by the Company. The reduction of the exercise price represented a modification to the existing warrants, which was recognized as an equity issuance cost of $594,033 charged against the proceeds of the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for the immediate cash exercise of the warrants, the Company concurrently issued to the warrant holders new unregistered Series A warrants to purchase up to 63,874 shares of common stock (the “Series A Warrants”) and new Series B warrants to purchase up to 63,874 shares of common stock (the “Series B Warrants”). The Series A Warrants and the Series B Warrants have an exercise price of $16.05 per share and are exercisable immediately upon issuance. The Series A Warrants have a term equal to five years from the date of issuance, and the Series B Warrants have a term equal to 18 months from the date of issuance.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transactions described above closed on July 26, 2024. Wainwright acted as the exclusive placement agent for the above-mentioned transactions. The Company paid Wainwright as consideration (i) an aggregate cash fee equal to 7.0% of the gross proceeds from the exercise of the existing warrants, (ii) a management fee equal to 1.0% of the aggregate gross proceeds from the exercise of the existing warrants, (iii) $35,000 for expenses, and (iv) $15,950 for clearing fees. Additionally, the Company issued to Wainwright (or its designees) as compensation, warrants to purchase up to 4,473 shares of common stock of the Company (equal to 7.0% of the aggregate number of existing warrants exercised in the offering) (the “Warrant Inducement Placement Agent Warrants”). The Warrant Inducement Placement Agent Warrants have a term of five years from the closing of the offering and an exercise price of $24.75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Warrants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transactions for warrants for the period indicated, excluding pre-funded warrants: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1,568,939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447.36</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1,623,179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warrant holders exercised warrants for an aggregate of 100,059 shares of the Company’s common stock at an average exercise price of $16.05 for approximately $1,606,000 of gross proceeds. The shares issued upon exercise of the warrants were registered on a registration statement on Form S-3, which was declared effective on August 23,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the grant date fair value of warrants using a Black-Scholes option valuation model based upon assumptions regarding risk-free interest rate, expected dividend rate, volatility, and estimated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warrant grant during the year ended December 31, 2025 and 2024 was estimated on the grant date using the Black-Scholes option valuation model with the following assumptions, excluding pre-funded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38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 - 103.5%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- 4.37%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–4.58%</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 –5</w:t>
            </w:r>
          </w:p>
        </w:tc>
      </w:tr>
      <w:tr>
        <w:trPr>
          <w:trHeight w:val="414"/>
        </w:trPr>
        <w:tc>
          <w:tcPr>
            <w:tcW w:w="3820" w:type="dxa"/>
            <w:vAlign w:val="bottom"/>
          </w:tcPr>
          <w:p>
            <w:pPr>
              <w:spacing w:after="0"/>
              <w:rPr>
                <w:sz w:val="24"/>
                <w:szCs w:val="24"/>
                <w:color w:val="auto"/>
              </w:rPr>
            </w:pPr>
          </w:p>
        </w:tc>
        <w:tc>
          <w:tcPr>
            <w:tcW w:w="5700" w:type="dxa"/>
            <w:vAlign w:val="bottom"/>
            <w:gridSpan w:val="2"/>
          </w:tcPr>
          <w:p>
            <w:pPr>
              <w:jc w:val="right"/>
              <w:ind w:right="3630"/>
              <w:spacing w:after="0"/>
              <w:rPr>
                <w:sz w:val="20"/>
                <w:szCs w:val="20"/>
                <w:color w:val="auto"/>
              </w:rPr>
            </w:pPr>
            <w:r>
              <w:rPr>
                <w:rFonts w:ascii="Times New Roman" w:cs="Times New Roman" w:eastAsia="Times New Roman" w:hAnsi="Times New Roman"/>
                <w:sz w:val="18"/>
                <w:szCs w:val="18"/>
                <w:color w:val="auto"/>
              </w:rPr>
              <w:t>F-22</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The following summarizes the status of warrants outstanding as of December 31, 2025, excluding pre-funded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0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$ 11.63 –16.05</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1,594,935</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$ 24.75 –28.13</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6,171</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$ 210.00 –240.00</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8,221</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$ 300.00 –731.25</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13,852</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209"/>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1,623,179</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expire on various dates from January 2026 to October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the listing of outstanding warrants as of December 31, 2025, by year of grant, excluding pre-funded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820" w:type="dxa"/>
            <w:vAlign w:val="bottom"/>
            <w:tcBorders>
              <w:bottom w:val="single" w:sz="8" w:color="auto"/>
            </w:tcBorders>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240.00</w:t>
            </w:r>
          </w:p>
        </w:tc>
        <w:tc>
          <w:tcPr>
            <w:tcW w:w="1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731.25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32,167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16.05</w:t>
            </w:r>
          </w:p>
        </w:tc>
        <w:tc>
          <w:tcPr>
            <w:tcW w:w="1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w:t>
            </w: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1,568,939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11.63</w:t>
            </w:r>
          </w:p>
        </w:tc>
        <w:tc>
          <w:tcPr>
            <w:tcW w:w="13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1,623,179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11.63</w:t>
            </w:r>
          </w:p>
        </w:tc>
        <w:tc>
          <w:tcPr>
            <w:tcW w:w="1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731.25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2024, the Company’s stockholders approved the 2024 Equity Incentive Plan (the “2024 Plan”). The 2024 Plan allows for the issuance of non-statutory stock options and incentive stock options, stock appreciation rights, stock awards, restricted stock, restricted stock units, and performance awards to employees, directors, and consultants of the Company, where permitted under the plan. Due to the approval of the 2024 Plan, no new awards will be granted under the Company’s Amended and Restated 2012 Stock Incentive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requires that a company that issues equity as compensation record compensation expense that corresponds to the estimated cost of those equity grants. ASC 718 requires companies to estimate the fair value of stock-based payment awards on the date of grant using an option-pricing model or other acceptable means.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2025, the Board of Directors, upon the recommendation of the Compensation Committee of the Board of Directors, determined that it was appropriate to award restricted stock units (“RSUs”) as a form of compensation for employees, consultants and directors and approved a form of Restricted Stock Unit Award Agreement, with such awards to be granted under the Company’s 2024 Plan. Consistent with that determination, the Board of Directors approved the grant of 60,101 RSUs on September 9, 2025, including 8,331 RSUs to Raymond F. Vennare, the Company’s former Chief Executive Officer, 6,467 RSUs to Josh Blacher, the Company’s Chief Financial Officer, and 25,872 RSUs in the aggregate to the Company’s non-executive directors. Each RSU represented the right to receive one share of the Company’s common stock upon vesting. The RSUs contained a service-based vesting condition requiring continued service through October 31, 2025, at which point the RSUs vested in full. The RSUs were settled on November 28, 2025.</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10, 2025, the Company entered into an amendment to the employment agreement with Raymond F. Vennare dated as of November 1, 2022. Pursuant to the amendment and following approval by the Compensation Committee, Mr. Vennare was awarded 20,000 RSUs. The RSUs contained a service-based vesting condition requiring continued service through January 1, 2026, at which point the RSUs vest in full.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period indicated: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0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as of December 31,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1,037,897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919,497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Nonvested RSUs as of December 31, 2025</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$5,381 of unrecognized stock-based compensation expense related to RSUs that is expected to be recognized in January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the grant date fair value of options and warrants using a Black-Scholes option valuation model based upon assumptions regarding risk-free interest rate, expected dividend rate, volatility, and estimated term. There were no stock options granted during the years ended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period indicated: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20,729.18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unrecognized stock-based compensation expense related to stock options that is expected to be recognized in future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to Non-Employees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issued shares of common stock to certain non-employees as compensation for services provided.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common stock with a grant date fair value of $100,000 were issued to non-employees in exchange for digital marketing services rendered through August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Stock warrants with a grant date fair value of $15.4 million were also granted to DNA in exchange for strategic advisory services. The Strategic Advisor Warrants have a five-year term and may be used to purchase up to 1,348,906 shares of the Company’s common stock at an exercise price of $11.6265 per share.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net of forfeitures, recognized for the years ended December 31, 2025 and 2024 was $16,482,661 and $906, respectively. $15.4 million was recognized as stock-based compensation expense related to the Strategic Advisor Warrants, which were immediately vested and exercisable at the grant date, contained no substantive future service requirement and for which services were substantially rendered in full during the year ended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years ended December 31, 2025 and 2024 is recorded within each of the captions comprising Operating expenses. $15.4 million of stock-based compensation expense related to the Strategic Advisor Warrants is recorded within General and administrative expense on the Statement of Net Loss for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The following summarizes the status of options and outstanding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640" w:type="dxa"/>
            <w:vAlign w:val="bottom"/>
            <w:tcBorders>
              <w:bottom w:val="single" w:sz="8" w:color="auto"/>
            </w:tcBorders>
          </w:tcPr>
          <w:p>
            <w:pPr>
              <w:spacing w:after="0"/>
              <w:rPr>
                <w:sz w:val="20"/>
                <w:szCs w:val="20"/>
                <w:color w:val="auto"/>
              </w:rPr>
            </w:pPr>
          </w:p>
        </w:tc>
        <w:tc>
          <w:tcPr>
            <w:tcW w:w="63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1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$ 93.30 –121.80</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8"/>
              </w:rPr>
              <w:t>$ 219.75</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–375.00</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$ 393.00</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–492.00</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8"/>
              </w:rPr>
              <w:t>$ 783.00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–12,750.00</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10"/>
        </w:trPr>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expire on various dates from March 2026 to April 2033.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the listing of outstanding stock options as of December 31, 2025, by year of grant: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940" w:type="dxa"/>
            <w:vAlign w:val="bottom"/>
            <w:tcBorders>
              <w:bottom w:val="single" w:sz="8" w:color="auto"/>
            </w:tcBorders>
          </w:tcPr>
          <w:p>
            <w:pPr>
              <w:spacing w:after="0"/>
              <w:rPr>
                <w:sz w:val="24"/>
                <w:szCs w:val="24"/>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462.00</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12,750.00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462.00</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462.00</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462.00</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2,370.00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219.75</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375.00</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115.50</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219.75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93.30</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2,925</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93.30</w:t>
            </w:r>
          </w:p>
        </w:tc>
        <w:tc>
          <w:tcPr>
            <w:tcW w:w="1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17,250.00</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DNA Holdings Venture, Inc. and its Representatives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Company’s Treasury Strategy, and the Cash and Crypto PIPEs closed October 7, 2025, Shawn Matthews was appointed to the Company’s Board of Directors. Mr. Matthews served as Chief Executive Officer of DNA, at the time of his appointment to the Company’s Board of Directors. Additionally, the Company engaged Thomas McLaughlin, who at the time served as Chief Investment Officer of DNA, to serve as the Company’s Chief Investment Officer.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Treasury Strategy, on October 7, 2025, the Company entered into the Strategic Advisor Agreement under which it engaged DNA as a strategic advisor to provide financial advisory services related to digital asset strategies and business development initiatives. As compensation for DNA’s services, the Company issued the Strategic Advisor Warrants with a five-year term to DNA to purchase up to 1,348,906 shares of its common stock at an exercise price of $11.6265 per share. The Strategic Advisor Warrants had a grant date fair value of $15.4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further engaged DNA under the Asset Management Agreement with a 10-year term, pursuant to which DNA will act as the Company’s asset manager with respect to its digital assets. As compensation for its services under the Asset Management Agreement, DNA is entitled to a 1.00% per annum asset-based management fee, plus an incentive fee equal to 25% of profits earned on managed assets over 7%. Total fees paid to DNA under the Asset Management Agreement were $722,390 during the year ended December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 of refunds, disaggregated by jurisdiction are as follows: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8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24"/>
                <w:szCs w:val="24"/>
                <w:color w:val="auto"/>
              </w:rPr>
            </w:pPr>
          </w:p>
        </w:tc>
      </w:tr>
      <w:tr>
        <w:trPr>
          <w:trHeight w:val="238"/>
        </w:trPr>
        <w:tc>
          <w:tcPr>
            <w:tcW w:w="80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 State</w:t>
            </w:r>
          </w:p>
        </w:tc>
        <w:tc>
          <w:tcPr>
            <w:tcW w:w="11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income is entirely related to domestic activities. The Company did not have any foreign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zero income tax expense from continuing operations during the years ended December 31, 2025, and 2024, due to losses in both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income tax benefit from continuing operations differs from statutory federal income tax expense (benefit)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statutory federal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(48,929,078)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 (a)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derivatives</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10,287,060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equity warrants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3,265,308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35,242,566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(2,142,462)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49"/>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at effective rate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prior-period amounts have been recast to reflect the classification of the Company's Eagan business as discontinued operations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amounts presented, including the effective tax rate reconciliation, reflect continuing operations only.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consist of the following:</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accruals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Charitable contribution carryover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39,397,315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696,622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1,016,330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551,917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570,708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542,609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NOL and credits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27,010,332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24,479,583</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68,977,801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27,603,505</w:t>
            </w:r>
          </w:p>
        </w:tc>
      </w:tr>
      <w:tr>
        <w:trPr>
          <w:trHeight w:val="209"/>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(513,256)</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(545,119)</w:t>
            </w:r>
          </w:p>
        </w:tc>
      </w:tr>
      <w:tr>
        <w:trPr>
          <w:trHeight w:val="210"/>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68,562,422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27,058,386</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(68,562,422)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(27,058,386)</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realizability of deferred tax assets and considers all available evidence, both positive and negative, including historical operating results, projections of future taxable income, reversing taxable temporary differences, and tax planning strategies. The Company has determined based on available evidence, particularly its history of losses, that it is not more likely than not that its net deferred tax asset will be realizable. Accordingly, the Company maintains a full valuation allowance against its net deferred tax asset.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Internal Revenue Code of 1986, as amended (the “Code”) Sections 382 and 383, annual use of a company’s NOL and research and development credit carryforwards may be limited if there is a cumulative change in ownership of greater than 50% within a three-year period. The amount of the annual limitation is determined based on the value of the Company immediately prior to the ownership change. Subsequent ownership changes may further affect the limitation in future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$110,759,174 of NOLs to reduce future federal taxable income, the majority of which are expected to be available for use in 2026, subject to the Section 382 limitations described above. The federal NOLs of $14,857 begin to expire in 2026 if unused and $110,744,317 will carry forward indefinitely. The Company also had $57,161,699 of NOLs to reduce future state taxable income as of December 31, 2025. The state NOLs will begin to expire in 2026 if unused. The Company's net deferred tax assets, which include the NOLs, are subject to a full valuation allowance. As of December 31, 2025, the federal and state valuation allowances were $55,645,772 and $12,916,650, respectively.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year-ended December 31, 2023, the Company completed an assessment of the available NOL and tax credit carryforwards under Section 382 and 383 and determined that the Company underwent several ownership changes during the period from 2008 to 2022. The Company adjusted its NOL and tax credit carryforwards to reflect the limitations resulting from the identified ownership changes. The Company reduced its available gross federal and state NOL carryforwards and the federal and state deferred tax asset, each of which related to losses generated for the years ended December 31, 2022, and prior.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year-ended December 31, 2025, the Company underwent a Section 382 analysis for the periods presented in the consolidated financial statements and determined that the Company experienced an ownership change (as defined in Section 382) related to its Cash PIPE equity issuance on October 7, 2025. The Company has calculated a preliminary Section 382 base limitation of approximately $435,000 with an aggregate limitation of approximately $4,600,000 over the applicable five-year recognition period after consideration of deemed realized built in gains (RBIG).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after 2005 remain open to examination by federal and state tax authorities due to unexpired NOL carryforwards.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on unrecognized tax benefits as well as interest received from favorable tax settlements within income tax expense. As of December 31, 2025, and 2024, the Company recorded no accrued interest or penalties related to uncertain tax positions.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RETIREMENT SAVINGS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pre-tax salary reduction/profit-sharing plan under the provisions of Section 401(k) of the Internal Revenue Code, which covers employees meeting certain eligibility requirements. During 2025 and 2024, the Company matched 100% of the employee’s contribution up to 4.0% of their earnings. Employer contributions were $76,858 and $125,328 in 2025 and 2024, respectively, and are recorded within each of the captions comprising Operating expenses. There were no discretionary contributions to the plan in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calculates basic loss per share based upon the weighted average number of common shares outstanding during the period, while the calculation of diluted earnings per share includes the dilutive effect of potential common shares outstanding during the period. The calculation of diluted earnings per share excludes all potential common shares, with the exception of pre-funded warrants, if their inclusion would have an anti-dilutive effect. A total of 16,119,095 pre-funded warrants are included in the computation of earnings per share because the exercise price of the pre-funded warrants is nominal and there are no conditions that must be satisfied prior to their exercise.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shares used in the basic and diluted loss per common share computations: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(232,853,647)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(10,224,655)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(2,439,733)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(233,095,203)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363,583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warrants and preferred stock (1)</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17,429,861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363,583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attributable to common stockholders per common share – basic and</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attributable to common stockholders per common share – basic and</w:t>
            </w:r>
          </w:p>
        </w:tc>
        <w:tc>
          <w:tcPr>
            <w:tcW w:w="3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 basic and diluted</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362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 warrants</w:t>
            </w:r>
          </w:p>
        </w:tc>
        <w:tc>
          <w:tcPr>
            <w:tcW w:w="5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1,623,179</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183,411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Series B</w:t>
            </w:r>
          </w:p>
        </w:tc>
        <w:tc>
          <w:tcPr>
            <w:tcW w:w="5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3620" w:type="dxa"/>
            <w:vAlign w:val="bottom"/>
          </w:tcPr>
          <w:p>
            <w:pPr>
              <w:spacing w:after="0"/>
              <w:rPr>
                <w:sz w:val="24"/>
                <w:szCs w:val="24"/>
                <w:color w:val="auto"/>
              </w:rPr>
            </w:pPr>
          </w:p>
        </w:tc>
        <w:tc>
          <w:tcPr>
            <w:tcW w:w="60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F-28</w:t>
            </w:r>
          </w:p>
        </w:tc>
        <w:tc>
          <w:tcPr>
            <w:tcW w:w="1560" w:type="dxa"/>
            <w:vAlign w:val="bottom"/>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its operating segments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Factors used to determine the Company’s reportable segments include the availability of separate financial statements, the existence of separate leadership across business lines, the economic factors affecting each segment, and the evaluation of operating results at the segment level. The Company’s Chief Operating Decision Maker (“CODM”), its chief executive officer, allocates the Company’s resources for each of the operating segments and evaluates their relative performance based on gross profit, operating loss, and net loss. Operating expenses are disaggregated by department for purposes of evaluating each segment’s performance. Each operating segment listed below has separate financial statements and locally based leadership that are evaluated based on the results of their respective segments. It should be noted that the operating segments below have different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 which have been delineated by business area:</w:t>
      </w:r>
    </w:p>
    <w:p>
      <w:pPr>
        <w:spacing w:after="0" w:line="223" w:lineRule="exact"/>
        <w:rPr>
          <w:sz w:val="20"/>
          <w:szCs w:val="20"/>
          <w:color w:val="auto"/>
        </w:rPr>
      </w:pPr>
    </w:p>
    <w:p>
      <w:pPr>
        <w:ind w:left="660" w:right="800" w:hanging="328"/>
        <w:spacing w:after="0" w:line="28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Compute Services and Treasury Management segment: </w:t>
      </w:r>
      <w:r>
        <w:rPr>
          <w:rFonts w:ascii="Times New Roman" w:cs="Times New Roman" w:eastAsia="Times New Roman" w:hAnsi="Times New Roman"/>
          <w:sz w:val="18"/>
          <w:szCs w:val="18"/>
          <w:color w:val="auto"/>
        </w:rPr>
        <w:t>provides services that include access to GPU compute capacity and manages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ATH Treasury Strategy.</w:t>
      </w:r>
    </w:p>
    <w:p>
      <w:pPr>
        <w:spacing w:after="0" w:line="158"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Drug Discovery Services segment</w:t>
      </w:r>
      <w:r>
        <w:rPr>
          <w:rFonts w:ascii="Times New Roman" w:cs="Times New Roman" w:eastAsia="Times New Roman" w:hAnsi="Times New Roman"/>
          <w:sz w:val="18"/>
          <w:szCs w:val="18"/>
          <w:color w:val="auto"/>
        </w:rPr>
        <w:t>: provides services that include the application of AI using its proprietary biobank of 150,000+ tumor samples,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creation of proprietary 3D culture models used in drug development.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Company’s former Birmingham and Eagan operating segments met the criteria to be reported as discontinued operations during the third quarter of 2024 and first quarter of 2025, respectively. As such, the former Birmingham and Eagan operating segments are excluded from the tables below, which only reflect continuing operations for all periods presented.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revenue recognition in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 description of the products and services recognized in each segment. All revenues are earned from external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Company’s segment reporting as of and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87"/>
        </w:trPr>
        <w:tc>
          <w:tcPr>
            <w:tcW w:w="4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Compute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Services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Drug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Discovery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125,284</w:t>
            </w: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Gains and (losses) from operations</w:t>
            </w: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(152,490,550)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(152,490,550)</w:t>
            </w: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16,241,611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7,955,839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25,924,358</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2,137,042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2,147,222</w:t>
            </w: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406,247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406,247</w:t>
            </w: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(168,732,161)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(3,811,288)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(8,372,266)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(180,915,715)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117,463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676,702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797,068</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15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(221,349,698)</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(3,134,586)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(8,369,363)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(232,853,647)</w:t>
            </w:r>
          </w:p>
        </w:tc>
      </w:tr>
      <w:tr>
        <w:trPr>
          <w:trHeight w:val="414"/>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4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Compute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Services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Drug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Discovery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49,455,174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1,930,898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1,502,274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52,888,346</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129,038</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400" w:type="dxa"/>
            <w:vAlign w:val="bottom"/>
          </w:tcPr>
          <w:p>
            <w:pPr>
              <w:spacing w:after="0"/>
              <w:rPr>
                <w:sz w:val="24"/>
                <w:szCs w:val="24"/>
                <w:color w:val="auto"/>
              </w:rPr>
            </w:pPr>
          </w:p>
        </w:tc>
        <w:tc>
          <w:tcPr>
            <w:tcW w:w="17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F-29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0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Compute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Drug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Discovery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2,022,732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5,213,065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7,235,797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2,234,501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2,241,461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833,194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833,199</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106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(10,303,930)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0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79,275</w:t>
            </w: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1060" w:type="dxa"/>
            <w:vAlign w:val="bottom"/>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(4,251,317)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(5,973,338)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(10,224,655)</w:t>
            </w:r>
          </w:p>
        </w:tc>
      </w:tr>
      <w:tr>
        <w:trPr>
          <w:trHeight w:val="414"/>
        </w:trPr>
        <w:tc>
          <w:tcPr>
            <w:tcW w:w="5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7"/>
        </w:trPr>
        <w:tc>
          <w:tcPr>
            <w:tcW w:w="5980" w:type="dxa"/>
            <w:vAlign w:val="bottom"/>
          </w:tcPr>
          <w:p>
            <w:pPr>
              <w:spacing w:after="0"/>
              <w:rPr>
                <w:sz w:val="16"/>
                <w:szCs w:val="16"/>
                <w:color w:val="auto"/>
              </w:rPr>
            </w:pPr>
          </w:p>
        </w:tc>
        <w:tc>
          <w:tcPr>
            <w:tcW w:w="10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Compute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Drug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Discovery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2,615,291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893,487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3,508,778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132,336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segment items is comprised of other income and other expenses. Other income primarily consists of aged accounts payable and accrued expenses written off in the year ended December 31, 2025, and interest income in the year ended December 31, 2024. Other expenses primarily consist of interest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of the years ended December 31, 2025, and 2024, substantially all the Company revenues were located or derived from operations in the United States. As of December 31, 2025, all the Company’s long-lived assets were located within the United States.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 xml:space="preserve">NOTE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DNA Director and Chief Investment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15, 2026, Shawn Matthews resigned as a director of the Company, effective as of January 15, 2026. On January 19, 2026, Thomas McLaughlin resigned as the Chief Investment Officer of the Company, effective as of January 19,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Chief Executive Officer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2026, the Board of Directors of Axe Compute Inc. voted to terminate, without cause, the employment of Raymond F. Vennare with the Company, effective as of February 9, 2026. In connection with his termination, Mr. Vennare entered into a separation agreement dated February 9, 2026 (the “Separation Agreement”), pursuant to which Mr. Vennare will receive certain separation benefits, contingent upon Mr. Vennare signing, delivering and not rescinding or revoking a general release of claims in favor of the Company. The Separation agreement provides for, among other things, (i) the payment of $575,000 in severance pay, which amount is equal to one year of Mr. Vennare’s base salary, (ii) a bonus for 2025 in the amount of $287,500, and (iii) a lump sum payment to assist with the cost of continued healthcare coverage. The foregoing description of the material terms of the Separation Agreement is not complete and is qualified in its entirety by reference to the full text thereof, a copy of which is filed as Exhibit 10.1 to this Current Report on Form 8-K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Executive Officer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6, 2026, the Board appointed Christopher Miglino as Chief Executive Officer to succeed Mr. Vennare, and as a member of the Board to fill the vacancy created by Mr. Vennare’s resignation, effective as of February 9,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Miglino’s appointment as Chief Executive Officer of the Company, the Company and Mr. Miglino entered into an employment agreement, dated February 9, 2026 (the “Employment Agreement”), which provides for, among other things, payment to Mr. Miglino of an annual base salary equal to $575,000, and at the discretion of the Board’s Compensation Committee (the “Committee”), to receive grants of stock options or other equity awards. Mr. Miglino will also be eligible to participate in the Company’s (i) bonus program with annual cash bonus equal up to 50% of his salary or at the discretion of the Committee, a higher percentage based on his and the Company’s performance, (ii) long-term incentive plan to be adopted and maintained by the Compensation Committee, and (iii) standard employee benefit plans generally available to executive employees of the Company.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a material inducement to Mr. Miglino’s appointment as Chief Executive Officer, on February 9, 2026 (the “Grant Date”) the Company granted Mr. Miglino stock options (the “Options”) to purchase 500,000 shares of the Company’s common stock at an exercise price equal to the closing price of the Company’s common stock on the Grant Date, pursuant to a Stock Option Inducement Award Agreement (the “Option Agreement”) between Mr. Miglino and the Company. One-third of the Options will vest on the first anniversary of the Grant Date with the remaining two-thirds of the Options vesting in equal monthly installments over the following twenty-four months, in each case subject to Mr. Miglino’s continued employment with or service to the Company through each applicable vesting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 Contracts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2026, the Company further executed on its strategic transition by executing contracts with several enterprise customers to provide access to remote GPU compute capacity on an hourly basis. The service periods of such contracts range in length from one month to approximately two years. In exchange for the services provided, the Company will collect various fees from customers, including monthly service fees, denominated in US dollars and payable in US dollars or stablecoins. The Company is in the process of analyzing the terms and conditions of such agreements to determine the appropriate accounting treatment under US GAAP, including application of ASC 606 to identify performance obligations, allocate the transaction price, and more. As a result, an estimate of the financial effect on the Company’s financial statements cannot be made at this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8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AXE COMPUTE INC.</w:t>
            </w:r>
          </w:p>
        </w:tc>
      </w:tr>
      <w:tr>
        <w:trPr>
          <w:trHeight w:val="238"/>
        </w:trPr>
        <w:tc>
          <w:tcPr>
            <w:tcW w:w="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r>
      <w:tr>
        <w:trPr>
          <w:trHeight w:val="82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Helomics Corporation</w:t>
            </w:r>
          </w:p>
        </w:tc>
        <w:tc>
          <w:tcPr>
            <w:tcW w:w="28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Skyline Medical Inc.</w:t>
            </w:r>
          </w:p>
        </w:tc>
        <w:tc>
          <w:tcPr>
            <w:tcW w:w="28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333-288782, 333-267689, and 333-252584) on Form S-1, (Nos. 333-279123, 333-281579, 333-291021, and 333-291022) on Form S-3, and (Nos. 333-259264, 333-286292, and 333-291126) on Form S-8 of our report dated March 31, 2026, with respect to the consolidated financial statements of Axe Compute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Miglino,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Axe Compute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Miglino</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 Blacher,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Axe Compute Inc.;</w:t>
      </w:r>
    </w:p>
    <w:p>
      <w:pPr>
        <w:spacing w:after="0" w:line="225" w:lineRule="exact"/>
        <w:rPr>
          <w:rFonts w:ascii="Times New Roman" w:cs="Times New Roman" w:eastAsia="Times New Roman" w:hAnsi="Times New Roman"/>
          <w:sz w:val="18"/>
          <w:szCs w:val="18"/>
          <w:color w:val="auto"/>
        </w:rPr>
      </w:pPr>
    </w:p>
    <w:p>
      <w:pPr>
        <w:ind w:left="660" w:right="40" w:hanging="652"/>
        <w:spacing w:after="0" w:line="312"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in light of the circumstances under which some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660" w:right="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58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34"/>
        </w:trPr>
        <w:tc>
          <w:tcPr>
            <w:tcW w:w="58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Axe Compute Inc. (the “Company”) for the year ended December 31, 2025 as filed with the Securities and Exchange Commission (the “Report”), I, Christopher Miglino, Chief Executive Officer (Principal Executive Officer) and, I, Josh Blacher, Interim Chief Financial Officer (Principal Financial Officer) of the Company, hereby certify as of the date hereof, solely for purposes of § 906 of the Sarbanes-Oxley Act of 2002, 18 U.S.C. § 1350, that to the best of my knowledge:</w:t>
      </w:r>
    </w:p>
    <w:p>
      <w:pPr>
        <w:spacing w:after="0" w:line="180"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right="600" w:firstLine="494"/>
        <w:spacing w:after="0" w:line="282" w:lineRule="auto"/>
        <w:tabs>
          <w:tab w:leader="none" w:pos="9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r>
      <w:tr>
        <w:trPr>
          <w:trHeight w:val="191"/>
        </w:trPr>
        <w:tc>
          <w:tcPr>
            <w:tcW w:w="58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Miglino</w:t>
            </w:r>
          </w:p>
        </w:tc>
      </w:tr>
      <w:tr>
        <w:trPr>
          <w:trHeight w:val="216"/>
        </w:trPr>
        <w:tc>
          <w:tcPr>
            <w:tcW w:w="58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58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16"/>
        </w:trPr>
        <w:tc>
          <w:tcPr>
            <w:tcW w:w="58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amp;"/>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9"/>
    </w:lvl>
  </w:abstractNum>
  <w:abstractNum w:abstractNumId="24">
    <w:nsid w:val="2CA88611"/>
    <w:multiLevelType w:val="hybridMultilevel"/>
    <w:lvl w:ilvl="0">
      <w:lvlJc w:val="left"/>
      <w:lvlText w:val="%1"/>
      <w:numFmt w:val="decimal"/>
      <w:start w:val="97"/>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88" Type="http://schemas.openxmlformats.org/officeDocument/2006/relationships/image" Target="media/image57.png"/><Relationship Id="rId117" Type="http://schemas.openxmlformats.org/officeDocument/2006/relationships/image" Target="media/image58.png"/><Relationship Id="rId118" Type="http://schemas.openxmlformats.org/officeDocument/2006/relationships/image" Target="media/image59.png"/><Relationship Id="rId119" Type="http://schemas.openxmlformats.org/officeDocument/2006/relationships/image" Target="media/image60.png"/><Relationship Id="rId120" Type="http://schemas.openxmlformats.org/officeDocument/2006/relationships/image" Target="media/image61.png"/><Relationship Id="rId121"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26" Type="http://schemas.openxmlformats.org/officeDocument/2006/relationships/image" Target="media/image67.png"/><Relationship Id="rId127" Type="http://schemas.openxmlformats.org/officeDocument/2006/relationships/image" Target="media/image68.png"/><Relationship Id="rId128" Type="http://schemas.openxmlformats.org/officeDocument/2006/relationships/image" Target="media/image69.png"/><Relationship Id="rId129"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63" Type="http://schemas.openxmlformats.org/officeDocument/2006/relationships/hyperlink" Target="http://www.sec.gov/Archives/edgar/data/1446159/000114420413068129/v363337_ex3-1.htm" TargetMode="External"/><Relationship Id="rId64" Type="http://schemas.openxmlformats.org/officeDocument/2006/relationships/hyperlink" Target="http://www.sec.gov/Archives/edgar/data/1446159/000114420414062895/v392122_ex3-1.htm" TargetMode="External"/><Relationship Id="rId65" Type="http://schemas.openxmlformats.org/officeDocument/2006/relationships/hyperlink" Target="http://www.sec.gov/Archives/edgar/data/1446159/000121465915005115/a630150def14c.htm" TargetMode="External"/><Relationship Id="rId66" Type="http://schemas.openxmlformats.org/officeDocument/2006/relationships/hyperlink" Target="http://www.sec.gov/Archives/edgar/data/1446159/000117184316012174/exh_31.htm" TargetMode="External"/><Relationship Id="rId67" Type="http://schemas.openxmlformats.org/officeDocument/2006/relationships/hyperlink" Target="http://www.sec.gov/Archives/edgar/data/1446159/000117184316012691/exh_31.htm" TargetMode="External"/><Relationship Id="rId68" Type="http://schemas.openxmlformats.org/officeDocument/2006/relationships/hyperlink" Target="http://www.sec.gov/Archives/edgar/data/1446159/000117184317000494/exh_31.htm" TargetMode="External"/><Relationship Id="rId69" Type="http://schemas.openxmlformats.org/officeDocument/2006/relationships/hyperlink" Target="http://www.sec.gov/Archives/edgar/data/1446159/000117184318000030/exh_31.htm" TargetMode="External"/><Relationship Id="rId70" Type="http://schemas.openxmlformats.org/officeDocument/2006/relationships/hyperlink" Target="http://www.sec.gov/Archives/edgar/data/1446159/000117184318000913/exh_31.htm" TargetMode="External"/><Relationship Id="rId72" Type="http://schemas.openxmlformats.org/officeDocument/2006/relationships/hyperlink" Target="http://www.sec.gov/Archives/edgar/data/1446159/000121465915006214/ex3_6.htm" TargetMode="External"/><Relationship Id="rId73" Type="http://schemas.openxmlformats.org/officeDocument/2006/relationships/hyperlink" Target="http://www.sec.gov/Archives/edgar/data/1446159/000117184317007333/exh_31.htm" TargetMode="External"/><Relationship Id="rId74" Type="http://schemas.openxmlformats.org/officeDocument/2006/relationships/hyperlink" Target="http://www.sec.gov/Archives/edgar/data/1446159/000117184319001922/exh_31.htm" TargetMode="External"/><Relationship Id="rId75" Type="http://schemas.openxmlformats.org/officeDocument/2006/relationships/hyperlink" Target="http://www.sec.gov/Archives/edgar/data/1446159/000117184320002217/exh_314.htm" TargetMode="External"/><Relationship Id="rId76" Type="http://schemas.openxmlformats.org/officeDocument/2006/relationships/hyperlink" Target="http://www.sec.gov/Archives/edgar/data/1446159/000117184319004062/exh_31.htm" TargetMode="External"/><Relationship Id="rId77" Type="http://schemas.openxmlformats.org/officeDocument/2006/relationships/hyperlink" Target="http://www.sec.gov/Archives/edgar/data/1446159/000117184319003971/exh_31.htm" TargetMode="External"/><Relationship Id="rId78" Type="http://schemas.openxmlformats.org/officeDocument/2006/relationships/hyperlink" Target="http://www.sec.gov/Archives/edgar/data/1446159/000117184319006861/exh_31.htm" TargetMode="External"/><Relationship Id="rId79" Type="http://schemas.openxmlformats.org/officeDocument/2006/relationships/hyperlink" Target="http://www.sec.gov/Archives/edgar/data/1446159/000117184321006043/exh_31.htm" TargetMode="External"/><Relationship Id="rId80" Type="http://schemas.openxmlformats.org/officeDocument/2006/relationships/hyperlink" Target="http://www.sec.gov/Archives/edgar/data/1446159/000117184323001735/exh_31.htm" TargetMode="External"/><Relationship Id="rId81" Type="http://schemas.openxmlformats.org/officeDocument/2006/relationships/hyperlink" Target="http://www.sec.gov/Archives/edgar/data/1446159/000117184323002440/exh_31.htm" TargetMode="External"/><Relationship Id="rId82" Type="http://schemas.openxmlformats.org/officeDocument/2006/relationships/hyperlink" Target="http://www.sec.gov/Archives/edgar/data/1446159/000117184325006069/exh_31.htm" TargetMode="External"/><Relationship Id="rId83" Type="http://schemas.openxmlformats.org/officeDocument/2006/relationships/hyperlink" Target="http://www.sec.gov/Archives/edgar/data/1446159/000117184322006337/exh_310.htm" TargetMode="External"/><Relationship Id="rId84" Type="http://schemas.openxmlformats.org/officeDocument/2006/relationships/hyperlink" Target="http://www.sec.gov/Archives/edgar/data/1446159/000117184325006154/exh_31.htm" TargetMode="External"/><Relationship Id="rId85" Type="http://schemas.openxmlformats.org/officeDocument/2006/relationships/hyperlink" Target="http://www.sec.gov/Archives/edgar/data/1446159/000121465915005946/ex4_17.htm" TargetMode="External"/><Relationship Id="rId86" Type="http://schemas.openxmlformats.org/officeDocument/2006/relationships/hyperlink" Target="http://www.sec.gov/Archives/edgar/data/1446159/000117184319001425/exh_42.htm" TargetMode="External"/><Relationship Id="rId87" Type="http://schemas.openxmlformats.org/officeDocument/2006/relationships/hyperlink" Target="http://www.sec.gov/Archives/edgar/data/1446159/000117184319002166/exh_42.htm" TargetMode="External"/><Relationship Id="rId89" Type="http://schemas.openxmlformats.org/officeDocument/2006/relationships/hyperlink" Target="http://www.sec.gov/Archives/edgar/data/1446159/000117184319006354/exh_46.htm" TargetMode="External"/><Relationship Id="rId90" Type="http://schemas.openxmlformats.org/officeDocument/2006/relationships/hyperlink" Target="http://www.sec.gov/Archives/edgar/data/1446159/000117184319006454/exh_41.htm" TargetMode="External"/><Relationship Id="rId91" Type="http://schemas.openxmlformats.org/officeDocument/2006/relationships/hyperlink" Target="http://www.sec.gov/Archives/edgar/data/1446159/000117184320000799/exh_41.htm" TargetMode="External"/><Relationship Id="rId92" Type="http://schemas.openxmlformats.org/officeDocument/2006/relationships/hyperlink" Target="http://www.sec.gov/Archives/edgar/data/1446159/000117184325001863/ex_796079.htm" TargetMode="External"/><Relationship Id="rId93" Type="http://schemas.openxmlformats.org/officeDocument/2006/relationships/hyperlink" Target="http://www.sec.gov/Archives/edgar/data/1446159/000117184320002408/exh_430.htm" TargetMode="External"/><Relationship Id="rId94" Type="http://schemas.openxmlformats.org/officeDocument/2006/relationships/hyperlink" Target="http://www.sec.gov/Archives/edgar/data/1446159/000117184319000496/s4a_012419.htm#a_00h" TargetMode="External"/><Relationship Id="rId95" Type="http://schemas.openxmlformats.org/officeDocument/2006/relationships/hyperlink" Target="http://www.sec.gov/Archives/edgar/data/1446159/000117184321000230/exh_41.htm" TargetMode="External"/><Relationship Id="rId96" Type="http://schemas.openxmlformats.org/officeDocument/2006/relationships/hyperlink" Target="http://www.sec.gov/Archives/edgar/data/1446159/000117184321000374/exh_41.htm" TargetMode="External"/><Relationship Id="rId97" Type="http://schemas.openxmlformats.org/officeDocument/2006/relationships/hyperlink" Target="http://www.sec.gov/Archives/edgar/data/1446159/000117184321000605/exh_41.htm" TargetMode="External"/><Relationship Id="rId98" Type="http://schemas.openxmlformats.org/officeDocument/2006/relationships/hyperlink" Target="http://www.sec.gov/Archives/edgar/data/1446159/000117184321001014/exh_41.htm" TargetMode="External"/><Relationship Id="rId99" Type="http://schemas.openxmlformats.org/officeDocument/2006/relationships/hyperlink" Target="http://www.sec.gov/Archives/edgar/data/1446159/000117184321001180/exh_41.htm" TargetMode="External"/><Relationship Id="rId100" Type="http://schemas.openxmlformats.org/officeDocument/2006/relationships/hyperlink" Target="http://www.sec.gov/Archives/edgar/data/1446159/000117184321004367/exh_41.htm" TargetMode="External"/><Relationship Id="rId101" Type="http://schemas.openxmlformats.org/officeDocument/2006/relationships/hyperlink" Target="http://www.sec.gov/Archives/edgar/data/1446159/000117184321004367/exh_42.htm" TargetMode="External"/><Relationship Id="rId102" Type="http://schemas.openxmlformats.org/officeDocument/2006/relationships/hyperlink" Target="http://www.sec.gov/ix?doc=/Archives/edgar/data/1446159/000117184324004198/f8k_072924.htm" TargetMode="External"/><Relationship Id="rId103" Type="http://schemas.openxmlformats.org/officeDocument/2006/relationships/hyperlink" Target="http://www.sec.gov/Archives/edgar/data/1446159/000117184324006611/def14a_122724.htm" TargetMode="External"/><Relationship Id="rId104" Type="http://schemas.openxmlformats.org/officeDocument/2006/relationships/hyperlink" Target="http://www.sec.gov/Archives/edgar/data/1446159/000117184322006630/def14a_101822.htm" TargetMode="External"/><Relationship Id="rId105" Type="http://schemas.openxmlformats.org/officeDocument/2006/relationships/hyperlink" Target="http://www.sec.gov/Archives/edgar/data/1446159/000117184322002237/ex_353039.htm" TargetMode="External"/><Relationship Id="rId106" Type="http://schemas.openxmlformats.org/officeDocument/2006/relationships/hyperlink" Target="http://www.sec.gov/Archives/edgar/data/1446159/000117184322002237/ex_353040.htm" TargetMode="External"/><Relationship Id="rId107" Type="http://schemas.openxmlformats.org/officeDocument/2006/relationships/hyperlink" Target="http://www.sec.gov/Archives/edgar/data/1446159/000117184322002237/ex_353041.htm" TargetMode="External"/><Relationship Id="rId108" Type="http://schemas.openxmlformats.org/officeDocument/2006/relationships/hyperlink" Target="http://www.sec.gov/Archives/edgar/data/1446159/000117184320001730/exh_101.htm" TargetMode="External"/><Relationship Id="rId109" Type="http://schemas.openxmlformats.org/officeDocument/2006/relationships/hyperlink" Target="http://www.sec.gov/Archives/edgar/data/1446159/000117184322006659/exh_101.htm" TargetMode="External"/><Relationship Id="rId110" Type="http://schemas.openxmlformats.org/officeDocument/2006/relationships/hyperlink" Target="http://www.sec.gov/Archives/edgar/data/1446159/000117184322006659/exh_102.htm" TargetMode="External"/><Relationship Id="rId111" Type="http://schemas.openxmlformats.org/officeDocument/2006/relationships/hyperlink" Target="http://www.sec.gov/Archives/edgar/data/1446159/000117184326000690/exh_101.htm" TargetMode="External"/><Relationship Id="rId112" Type="http://schemas.openxmlformats.org/officeDocument/2006/relationships/hyperlink" Target="http://www.sec.gov/Archives/edgar/data/1446159/000117184326000690/exh_102.htm" TargetMode="External"/><Relationship Id="rId113" Type="http://schemas.openxmlformats.org/officeDocument/2006/relationships/hyperlink" Target="http://www.sec.gov/Archives/edgar/data/1446159/000117184326000690/exh_103.htm" TargetMode="External"/><Relationship Id="rId114" Type="http://schemas.openxmlformats.org/officeDocument/2006/relationships/hyperlink" Target="http://www.sec.gov/Archives/edgar/data/1446159/000114420412021628/v308228_ex14-1.htm" TargetMode="External"/><Relationship Id="rId115" Type="http://schemas.openxmlformats.org/officeDocument/2006/relationships/hyperlink" Target="http://www.sec.gov/Archives/edgar/data/1446159/000117184325001863/ex_795521.htm" TargetMode="External"/><Relationship Id="rId116" Type="http://schemas.openxmlformats.org/officeDocument/2006/relationships/hyperlink" Target="http://www.sec.gov/Archives/edgar/data/1446159/000117184324001694/ex_644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2026-03-31T15:47:02Z</dcterms:created>
  <dcterms:modified xsi:type="dcterms:W3CDTF">2026-03-31T15:47:02Z</dcterms:modified>
</cp:coreProperties>
</file>