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 Exchange Act of 1934</w:t>
      </w:r>
    </w:p>
    <w:p>
      <w:pPr>
        <w:sectPr>
          <w:pgSz w:w="11900" w:h="16838" w:orient="portrait"/>
          <w:cols w:equalWidth="0" w:num="1">
            <w:col w:w="11080"/>
          </w:cols>
          <w:pgMar w:left="320" w:top="225" w:right="499" w:bottom="1440" w:gutter="0" w:footer="0" w:header="0"/>
        </w:sect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2980" w:space="520"/>
            <w:col w:w="7580"/>
          </w:cols>
          <w:pgMar w:left="320" w:top="225" w:right="4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1080"/>
          </w:cols>
          <w:pgMar w:left="320" w:top="225" w:right="499" w:bottom="1440" w:gutter="0" w:footer="0" w:header="0"/>
          <w:type w:val="continuous"/>
        </w:sectPr>
      </w:pPr>
    </w:p>
    <w:p>
      <w:pPr>
        <w:spacing w:after="0" w:line="22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4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sz w:val="24"/>
          <w:szCs w:val="24"/>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580" w:hanging="572"/>
        <w:spacing w:after="0" w:line="250"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7" w:lineRule="exact"/>
        <w:rPr>
          <w:sz w:val="24"/>
          <w:szCs w:val="24"/>
          <w:color w:val="auto"/>
        </w:rPr>
      </w:pPr>
    </w:p>
    <w:p>
      <w:pPr>
        <w:ind w:left="580" w:hanging="572"/>
        <w:spacing w:after="0"/>
        <w:tabs>
          <w:tab w:leader="none" w:pos="5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hanging="572"/>
        <w:spacing w:after="0" w:line="282" w:lineRule="auto"/>
        <w:tabs>
          <w:tab w:leader="none" w:pos="580" w:val="left"/>
        </w:tabs>
        <w:numPr>
          <w:ilvl w:val="0"/>
          <w:numId w:val="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sz w:val="24"/>
          <w:szCs w:val="24"/>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2915 Commers Drive, Suite 900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Eagan, Minnesota 55121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(651) 389-4800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Predictive Oncology Inc. (the “Company”) on December 1, 2022, at 3:00 PM (Central Time) at the offices of the Company’s counsel, Maslon LLP, 3300 Wells Fargo Center, 90 South Seventh Street, Minneapolis, MN 55402 for the following purposes: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Annual Meeting, the Company’s stockholders will be asked to:</w:t>
      </w:r>
    </w:p>
    <w:p>
      <w:pPr>
        <w:spacing w:after="0" w:line="225"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two Class I directors to hold office until the 2025 Annual Meeting of Stockholders;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Baker Tilly Virchow Krause, LLP as the Company’s independent registered public accounting firm for the fiscal year ending December 31, 2022 (the “Auditor Proposal”);</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proposal to increase the reserve of shares of common stock authorized for issuance under the Amended and Restated 2012 Stock Incentive Plan from 3,250,000 to 5,750,000 (the “Plan Increase Proposal”);</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non-binding advisory resolution to approve compensation of the Company’s executive officers as disclosed in the proxy statement accompanying this Notice;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non-binding advisory resolution on the frequency in which shareholders approve the compensation of the Company’s executive officers;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proposal to adjourn the meeting if necessary to solicit additional proxies for the Plan Increase Proposal;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any other business as may properly come before the Annual Meeting or any adjournments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October 3, 2022. Only stockholders of record at the close of business on that date are entitled to vote at the meeting or any adjournment thereof, or by proxy.</w:t>
      </w:r>
    </w:p>
    <w:p>
      <w:pPr>
        <w:spacing w:after="0" w:line="16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 J. Melville Engle</w:t>
      </w:r>
    </w:p>
    <w:p>
      <w:pPr>
        <w:spacing w:after="0" w:line="22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J. Melville Engle</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Eagan,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in person. Whether or not you expect to attend the meeting, please vote your shares. You may vote your proxy over the Internet or, if you receive a paper proxy card by mail, by completing and returning the proxy card mailed to you. Voting instructions are provided in the Notice of Internet Availability of Proxy Materials, or, if you receive a paper proxy card by mail, the instructions are printed on your proxy card and included in the proxy statement. Any stockholder attending the meeting may vote in person, even if you have previously submitted your vote. Please note, however, that if your shares are held of record by a broker, bank or other nominee and you wish to vote at the meeting, you must obtain a legal proxy issued in your name from that record holder.</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MEETING TO BE HELD ON DECEMBER 1, 2022:</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Proxy Statement is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available at www.annualgeneralmeetings.com/poai.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2697480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906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80" w:type="dxa"/>
            <w:vAlign w:val="bottom"/>
          </w:tcPr>
          <w:p>
            <w:pPr>
              <w:spacing w:after="0"/>
              <w:rPr>
                <w:sz w:val="20"/>
                <w:szCs w:val="20"/>
                <w:color w:val="auto"/>
              </w:rPr>
            </w:pPr>
          </w:p>
        </w:tc>
      </w:tr>
      <w:tr>
        <w:trPr>
          <w:trHeight w:val="432"/>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QUESTIONS AND ANSWERS ABOUT THIS PROXY MATERIAL AND VOTING</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1</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PROPOSAL NO. 1: ELECTION OF DIRECTORS</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7</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REGARDING THE BOARD OF DIRECTORS AND CORPORATE GOVERNANCE</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10</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15</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15</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16</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DIRECTOR COMPENSATION</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23</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PROPOSAL NO. 2: RATIFICATION OF SELECTION OF INDEPENDENT AUDITORS</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25</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PROPOSAL NO. 3: INCREASING RESERVED SHARES UNDER STOCK INCENTIVE PLAN</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27</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PROPOSAL NO. 4: “SAY-ON-PAY” VOTE</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30</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PROPOSAL NO. 5: FREQUENCY OF “SAY-ON-PAY” VOTE</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31</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PROPOSAL NO. 6: ADJOURNMENT OF MEETING</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32</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33</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FORM 10-K</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35</w:t>
            </w:r>
          </w:p>
        </w:tc>
      </w:tr>
      <w:tr>
        <w:trPr>
          <w:trHeight w:val="45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OTHER MATTERS</w:t>
            </w:r>
          </w:p>
        </w:tc>
        <w:tc>
          <w:tcPr>
            <w:tcW w:w="21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35</w:t>
            </w:r>
          </w:p>
        </w:tc>
      </w:tr>
      <w:tr>
        <w:trPr>
          <w:trHeight w:val="2511"/>
        </w:trPr>
        <w:tc>
          <w:tcPr>
            <w:tcW w:w="90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8"/>
        </w:trPr>
        <w:tc>
          <w:tcPr>
            <w:tcW w:w="906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2915 Commers Drive, Suite 900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Eagan, Minnesota 55121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(651) 389-4800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1,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THIS PROXY MATERIAL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providing you with these proxy materials because the Board of Directors (the “Board of Directors” or the “Board”) of Predictive Oncology Inc. (the “Company”) is soliciting your proxy to vote at the 2022 Annual Meeting of Stockholders of the Company (the “Annual Meeting”) to be held on December 1, 2022, at 3:00 PM (Central Time), including any adjournments or postponements of the Annual Meeting. The Annual Meeting will be held at the offices of the Company’s counsel, Maslon LLP. You are invited to attend the Annual Meeting to vote on the proposals described in this proxy statement. However, you do not need to attend the meeting to vote your shares. Instead, you may vote your shares electronically before the meeting over the Internet, or by proxy as described below.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thereof. All stockholders will have the ability to access the proxy materials through the website referred to in the Notice or to request a printed set of the proxy materials. Instructions on how to access the proxy materials over the Internet or to request a printed set of the proxy materials may be found in the Notice.</w:t>
      </w:r>
    </w:p>
    <w:p>
      <w:pPr>
        <w:spacing w:after="0" w:line="2" w:lineRule="exact"/>
        <w:rPr>
          <w:sz w:val="20"/>
          <w:szCs w:val="20"/>
          <w:color w:val="auto"/>
        </w:rPr>
      </w:pPr>
    </w:p>
    <w:p>
      <w:pPr>
        <w:ind w:right="1460" w:firstLine="648"/>
        <w:spacing w:after="0" w:line="260" w:lineRule="auto"/>
        <w:rPr>
          <w:sz w:val="20"/>
          <w:szCs w:val="20"/>
          <w:color w:val="auto"/>
        </w:rPr>
      </w:pPr>
      <w:r>
        <w:rPr>
          <w:rFonts w:ascii="Times New Roman" w:cs="Times New Roman" w:eastAsia="Times New Roman" w:hAnsi="Times New Roman"/>
          <w:sz w:val="18"/>
          <w:szCs w:val="18"/>
          <w:color w:val="auto"/>
        </w:rPr>
        <w:t>We intend to mail the Notice on or about October 18, 2022 to all stockholders of record entitled to vote at the Annual Meeting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 I allowed to attend the Annual Meeting in person?</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Stockholders may attend the Annual Meeting in person. Any stockholder who desires to attend in person is kindly asked to provide advance written notice to bmyers@predictive-oncology.com. If you would like directions to the offices of the Company’s counsel, Maslon LLP, please call (651) 389-4800.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October 3, 2022, will be entitled to vote at the Annual Meeting. On the record date, there were 78,521,264 shares of common stock outstanding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on October 3, 2022, your shares were registered directly in your name with the Company’s transfer agent, Pacific Stock Transfer, then you are a stockholder of record. As a stockholder of record, you may vote at the meeting or vote by proxy. Whether or not you plan to attend the meeting, we urge you to vote your shares electronically over the Internet or, vote by proxy using a proxy card that you may request or that we may elect to deliver at a later time, as instructed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October 3, 2022,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meeting unless you request and obtain a valid legal proxy from your broker or other agent.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six matters scheduled for a vote:</w:t>
      </w:r>
    </w:p>
    <w:p>
      <w:pPr>
        <w:spacing w:after="0" w:line="22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 directors to hold office until the 2025 Annual Meeting of Stockholders;</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Baker Tilly Virchow Krause, LLP as the Company’s independent registered public accounting firm for the fiscal year ending December 31, 2021 (the “Auditor Proposal”)</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increase the reserve of shares of common stock authorized for issuance under the Amended and Restated 2012 Stock Incentive Plan from 3,2500,000 to 5,750,000 (the “Plan Increase Proposal”);</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resolution to approve compensation of the Company’s executive officers as disclosed in the proxy statement accompanying this Notice;</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resolution on the frequency in which shareholders approve the compensation of the Company’s executive officers;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meeting, if necessary, in order to solicit additional proxies for approval of the Plan Increase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transact any other business as may properly come before the Annual Meeting or any adjournments thereof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Proposal No. 1, you may either vote “FOR” the nominee to the Board of Directors or you may “Withhold” your vote for the nominee. With respect to Proposals 2, 3 and 4, you may vote “FOR” or “AGAINST” or abstain from voting. For Proposal 5, you may vote for “Every 1 Year,” “Every 2 Years,” “Every 3 Years,” or you may abstain from voting. With respect to Proposal 6, you may vote “FOR” or “AGAINST” or abstain from voting.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vote by proxy using the enclosed proxy card, vote by proxy via facsimile, email or on the Internet. Whether or not you plan to attend the meeting, we urge you to vote by proxy to ensure your vote is counted. You may still attend the meeting and vote your shares even if you have already voted by proxy.</w:t>
      </w:r>
    </w:p>
    <w:p>
      <w:pPr>
        <w:spacing w:after="0" w:line="176" w:lineRule="exact"/>
        <w:rPr>
          <w:sz w:val="20"/>
          <w:szCs w:val="20"/>
          <w:color w:val="auto"/>
        </w:rPr>
      </w:pPr>
    </w:p>
    <w:p>
      <w:pPr>
        <w:jc w:val="both"/>
        <w:ind w:left="1140" w:right="20" w:hanging="565"/>
        <w:spacing w:after="0" w:line="261"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before the Annual Meeting, go to www.annualgeneralmeetings.com/poai and transmit your voting instructions up until 11:59 p.m. Eastern time on November 30, 2022. Be sure to have your Notice of Internet Availability or proxy card available and follow the instructions given on the secure website. You will need the 12-digit control number that is printed on you Notice of Internet Availability or in the box marked on your proxy card to vote online.</w:t>
      </w:r>
    </w:p>
    <w:p>
      <w:pPr>
        <w:spacing w:after="0" w:line="179" w:lineRule="exact"/>
        <w:rPr>
          <w:rFonts w:ascii="Times New Roman" w:cs="Times New Roman" w:eastAsia="Times New Roman" w:hAnsi="Times New Roman"/>
          <w:sz w:val="18"/>
          <w:szCs w:val="18"/>
          <w:color w:val="auto"/>
        </w:rPr>
      </w:pPr>
    </w:p>
    <w:p>
      <w:pPr>
        <w:jc w:val="both"/>
        <w:ind w:left="1140" w:hanging="565"/>
        <w:spacing w:after="0" w:line="266"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a proxy card, you may request a proxy card by following the instructions in the Notice. Once you receive the proxy card, simply complete, sign and date the proxy card and return it promptly in the envelope provided. If you return your signed proxy card to us before the Annual Meeting, we will vote your shares as you direct.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receive proxy materials and voting instructions from that organization rather than from us. Simply follow the voting instructions to ensure that your vote is submitted to your broker or bank. To vote in real time at the Annual Meeting, you must obtain a valid legal proxy from your broker, bank, or other agent. Follow the instructions from your broker or bank included with these proxy materials or contact your broker or bank to request a proxy form.</w:t>
      </w:r>
    </w:p>
    <w:p>
      <w:pPr>
        <w:spacing w:after="0" w:line="178"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October 3,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any voting selections, your shares will be voted “For” the directors nominated for re-election in Proposal No. 1, “For” Proposals 2, 3 and 4, “Every 3 Years” for Proposal 5, and “For” Proposal 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over the Internet or by completing your proxy card, by voting at the annual meeting, your shares will not be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the Company’s proxy solicitor, and who is paying for this proxy solicitation?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retained Regan &amp; Associates, Inc. (“Regan”), an independent proxy solicitation firm, to assist in soliciting proxies on our behalf. We have agreed to pay Regan a fee of $35,000, plus out-of-pocket expenses, for these services. We bear all proxy solicitation costs. If stockholders need assistance with casting or changing their vote, they should contact our proxy solicitor at (212) 587-3005.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are registered in more than one name or are registered in different accounts. Please follow the voting instructions on each Notice to ensure that all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proxy materials available on the Internet?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Proxy materials for the Annual Meeting are available at </w:t>
      </w:r>
      <w:r>
        <w:rPr>
          <w:rFonts w:ascii="Times New Roman" w:cs="Times New Roman" w:eastAsia="Times New Roman" w:hAnsi="Times New Roman"/>
          <w:sz w:val="18"/>
          <w:szCs w:val="18"/>
          <w:b w:val="1"/>
          <w:bCs w:val="1"/>
          <w:color w:val="auto"/>
        </w:rPr>
        <w:t>www.annualgeneralmeetings.com/poai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162" w:lineRule="exact"/>
        <w:rPr>
          <w:sz w:val="20"/>
          <w:szCs w:val="20"/>
          <w:color w:val="auto"/>
        </w:rPr>
      </w:pPr>
    </w:p>
    <w:p>
      <w:pPr>
        <w:ind w:left="1140" w:hanging="565"/>
        <w:spacing w:after="0"/>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send a written notice to the secretary of the Company before the Annual Meeting stating that you would like to revoke your proxy.</w:t>
      </w:r>
    </w:p>
    <w:p>
      <w:pPr>
        <w:spacing w:after="0" w:line="236" w:lineRule="exact"/>
        <w:rPr>
          <w:rFonts w:ascii="Times New Roman" w:cs="Times New Roman" w:eastAsia="Times New Roman" w:hAnsi="Times New Roman"/>
          <w:sz w:val="17"/>
          <w:szCs w:val="17"/>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signed and returned a paper proxy card, you may sign a new proxy card bearing a later date and submit it as instructed above.</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voted over the Internet, you may cast a new vote over the Internet as instructed above.</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to vote in person. Attending the meeting will not, by itself, revoke your proxy.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cumulative voting permitted for the 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You will not be permitted to cumulate your votes for the election of directors. Under Delaware law, stockholders are not entitled to cumulative voting rights unless a corporation’s certificate of incorporation explicitly authorizes such rights. The Company’s certificate of incorporation does not authorize cumulative voting rights for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“routine,” but not with respect to “non-routine” matters. Proposal No. 2 is considered routine under the NYSE rules. All other proposals are matters considered non-routine by the New York Stock Exchange, and therefore, there may be broker non-votes on these proposals.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 and how many votes are needed to approve each proposal?</w:t>
      </w:r>
    </w:p>
    <w:p>
      <w:pPr>
        <w:spacing w:after="0" w:line="229" w:lineRule="exact"/>
        <w:rPr>
          <w:sz w:val="20"/>
          <w:szCs w:val="20"/>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1, the election of two Class I directors, the two nominees receiving the most “For” votes (from the holders of shares of capital stock of the Company present in person or represented by proxy at the Annual Meeting and entitled to vote on Proposal 1) will be elected. Only votes “For” or “Withheld” will affect the outcome. Broker non-votes will have no effect on the outcome of Proposal 1.</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2, approval of auditors, to be approved, Proposal No. 2 must receive a “For” vote from majority of shares of capital stock of the Company present in person or represented by proxy at the Annual Meeting and entitled to vote on Proposal No. 2. Abstentions will be counted towards the vote total for Proposal 2 and will have the same effect as “Against” votes. No broker non-votes are expected on Proposal No. 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3, increasing the number of shares reserved under the Amended and Restated 2012 Stock Incentive Plan, Proposal No. 3 must receive a “For” vote from a majority of the shares of capital stock of the Company present in person or represented by proxy at the Annual Meeting and entitled to vote on Proposal No. 3. If you “Abstain” from voting, it will have the same effect as an “Against” vote. Broker non-votes will not have any effect on approval of Proposal No. 3.</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4, voting on a non-binding advisory resolution on executive compensation, Proposal No. 4 must receive a “For” vote from a majority of shares of capital stock of the Company present in person or represented by proxy at the Annual Meeting and entitled to vote on Proposal No. 4. If you “Abstain” from voting, it will have the same effect as an “Against” vote. Broker non-votes will not have any effect on approval of Proposal No. 4.</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5, which relates to the advisory vote on the frequency of stockholder advisory votes on executive compensation, the frequency receiving the highest number of votes from the holders of shares present in person or represented by proxy at the Annual Meeting and entitled to vote on Proposal 5 will be considered the frequency preferred by the stockholders. Neither abstentions nor broker non-votes will have an effect on outcome of the vote on Proposal 5.</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6, voting on a proposal to adjourn the meeting, if necessary, in order to solicit more proxies for approval of the Plan Increase Proposal, Proposal No. 6 must receive a “For” vote from a majority of the shares of capital stock of the Company present in person or represented by proxy at the Annual Meeting and entitled to vote on Proposal 6. If you “Abstain” from voting, it will have the same effect as an “Against” vote. Broker non-votes will not have any effect on approval of Proposal No. 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Proposals 4 and 5 are advisory only, the outcome these votes will not be binding upon the Company or the Board of Directors. However, we value stockholders’ opinions, and we will consider the outcome of that vote when determining future executive compensation arrangements and the frequency of stockholder advisory votes on executive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quorum of the Company’s stockholders is necessary to hold a valid meeting. A quorum will be present if stockholders holding at least one-third of the outstanding shares are present at the meeting or represented by proxy. On the record date, there were 78,521,264 shares of common stock outstanding and entitled to vote. Thus, the holders of 26,173,755 shares of common stock must be present at the meeting or represented by proxy at the meeting to have a quorum.</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Your shares will be counted towards the quorum only if you submit a valid proxy (or one is submitted on your behalf by your broker, bank or other nominee) or if you vote in real time at the Annual Meeting. Abstentions and broker non-votes will be counted towards the quorum requirement. If there is no quorum, the holders of a majority of shares present at the Annual Meeting or represented by proxy may adjourn the Annual Meeting to another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which we will file within four business days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the 2023 Annual Meeting?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for consideration to be included in the proxy materials for the 2023 annual meeting of stockholders, you must comply with Rule 14a-8 under the Exchange Act and the advance notice provisions of our Amended and Restated Bylaws. You must also make sure that we receive your proposal at our executive offices (sent c/o Secretary) no later than June 20, 2023 if the 2023 annual meeting is held within 30 days of December 1, 2023. If the 2023 annual meeting is not held within 30 days of such date, then we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recommend a person for consideration as a nominee for election as a director at the 2023 Annual Meeting of Stockholders, you must comply with the advance notice provisions of our Second Amended and Restated Bylaws. These provisions require that we receive your nomination at our executive offices (sent c/o Secretary) no earlier than September 2, 2023 and no later than October 2, 2023. If the Annual Meeting is not held within 30 days of such date, then the Company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at the 2023 Annual Meeting of Stockholders without including it in our proxy statement, you must comply with the advance notice provisions of our Second Amended and Restated Bylaws. These provisions require that we receive your proposal at our executive offices (sent c/o Secretary) no earlier than September 2, 2023 and no later than October 2, 2023. If the Annual Meeting is not held within 30 days of such date, then the Company will disclose the deadline for such proposals, if different.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presiding officer at the 2023 Annual Meeting of Stockholders determines that a stockholder proposal or stockholder director nomination was not submitted in compliance with the advance notice provisions of our Second Amended and Restated Bylaws, the proposal or nomination will be ruled out of order and not acted upon.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What happens if the Annual Meeting is adjourned?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notify stockholders of any adjournments of more than 30 days or if a new record date is fixed for the adjourned meeting. Except as described above, notice is not required for an adjourned meeting if the time, place and means of remote communication for the adjourned meeting are announced at the meeting at which the adjournment occurs. Unless a new record date is fixed, your proxy will still be valid and may be voted at the adjourned meeting unless properly revoked. You will still be able to change or revoke your proxy until it is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shall be comprised of such number of directors as determined by the Board, and directors need not be stockholders of the Company. The Board is divided into three classes, and one class is elected each year at the Annual Meeting of Stockholders for a term of three years. Vacancies on the Board may be filled only by persons elected by a majority of the remaining directors. A director elected by the Board to fill a vacancy shall serve for the remainder of the full term and until the director’s successor is elected and qualified.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directors of the Company do not have a definite term of office and each director serves until his or her successor is elected and duly qualified. The Board has established a Nominating and Governance Committee which considers director candidates, including those recommended by stockholders, and recommends candidates to the full Board for approval. To nominate a director, stockholders must submit such nomination in writing to our Secretary at 2915 Commers Drive, Suite 900, Eagan, Minnesota 55121.</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the Class I directors are scheduled to expire on the date of the upcoming Annual Meeting. Based on the recommendation of the Nominating and Governance Committee, the Board’s nominees for election by the stockholders are Chuck Nuzum and Daniel E. Handley, M.S., Ph.D. If elected, each nominee will serve as a director until the 2025 Annual Meeting of Stockholders and until his successor is duly elected and qualified, or until his earlier death, resignation, or removal. The terms of the Class II and Class III directors are scheduled to expire on the date of the Company’s 2023 and 2024 annual stockholders meetings, respectively. The Board is currently comprised of six sitting directors and one vacancy in Class III.</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are the biographies of each director, as well as a discussion of the experience, qualifications, attributes and skills that led the Board to conclude that each person nominated to serve or currently serving on the Board should serve as a director. In addition to the information presented below, we believe that the nominee meets the minimum qualifications established by the Nominating and Governance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7"/>
              </w:rPr>
              <w:t>Age (1)</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Director Class</w:t>
            </w:r>
          </w:p>
        </w:tc>
      </w:tr>
      <w:tr>
        <w:trPr>
          <w:trHeight w:val="216"/>
        </w:trPr>
        <w:tc>
          <w:tcPr>
            <w:tcW w:w="34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Melville Engle</w:t>
            </w:r>
          </w:p>
        </w:tc>
        <w:tc>
          <w:tcPr>
            <w:tcW w:w="190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72</w:t>
            </w:r>
          </w:p>
        </w:tc>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CEO, Chairman of the Board</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Daniel E. Handley, M.S., Ph.D.</w:t>
            </w:r>
          </w:p>
        </w:tc>
        <w:tc>
          <w:tcPr>
            <w:tcW w:w="19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62</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I</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St. Clair, Sr.</w:t>
            </w:r>
          </w:p>
        </w:tc>
        <w:tc>
          <w:tcPr>
            <w:tcW w:w="190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56</w:t>
            </w:r>
          </w:p>
        </w:tc>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II</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Chuck Nuzum</w:t>
            </w:r>
          </w:p>
        </w:tc>
        <w:tc>
          <w:tcPr>
            <w:tcW w:w="19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74</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I</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Chung-Welch, Ph.D.</w:t>
            </w:r>
          </w:p>
        </w:tc>
        <w:tc>
          <w:tcPr>
            <w:tcW w:w="190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62</w:t>
            </w:r>
          </w:p>
        </w:tc>
        <w:tc>
          <w:tcPr>
            <w:tcW w:w="3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Class II</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19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70</w:t>
            </w:r>
          </w:p>
        </w:tc>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Class III</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the date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Nominees for Class I Directors for a Three-Year Term Ending at the 2025 Annual Meeting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E. Handley M.S., Ph.D. </w:t>
      </w:r>
      <w:r>
        <w:rPr>
          <w:rFonts w:ascii="Times New Roman" w:cs="Times New Roman" w:eastAsia="Times New Roman" w:hAnsi="Times New Roman"/>
          <w:sz w:val="18"/>
          <w:szCs w:val="18"/>
          <w:color w:val="auto"/>
        </w:rPr>
        <w:t>Dr. Handley was appointed to the Board on February 19, 2020. He serves as a Professor and the Director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decorated veteran of the U.S. Navy, having served as a nuclear propulsion instructor and a submarine nuclear reactor operator.</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Chuck Nuzum</w:t>
      </w:r>
      <w:r>
        <w:rPr>
          <w:rFonts w:ascii="Times New Roman" w:cs="Times New Roman" w:eastAsia="Times New Roman" w:hAnsi="Times New Roman"/>
          <w:sz w:val="18"/>
          <w:szCs w:val="18"/>
          <w:color w:val="auto"/>
        </w:rPr>
        <w:t>. Mr. Nuzum was appointed to the Board on July 9, 2020. He has extensive experience as a CFO that ranges from private start-ups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large publicly traded 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2023 Annual Meeting</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 Melville Engle</w:t>
      </w:r>
      <w:r>
        <w:rPr>
          <w:rFonts w:ascii="Times New Roman" w:cs="Times New Roman" w:eastAsia="Times New Roman" w:hAnsi="Times New Roman"/>
          <w:sz w:val="18"/>
          <w:szCs w:val="18"/>
          <w:color w:val="auto"/>
        </w:rPr>
        <w:t>. Mr. Engle was appointed to the Board on December 1, 2016 and became Chairman of the Board on April 3, 2020. He became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CEO on March 19, 2021. Mr. Engle has worked in the healthcare industry for the past three decades. Since 2012, he has served as President and Chief Executive Officer of Engle Strategic Solutions, a consulting company focused on CEO development and coaching, senior management consulting, corporate problem solving and strategic and operational planning. He was Chairman of the Board of Windgap Medical, Inc., and has held executive positions at prominent companies including Chairman and Chief Executive Officer at ThermoGenesis Corp., Regional Head/Director, North America at Merck Generics, President and Chief Executive Officer of Dey, L.P. and CFO, at Allergan, Inc. In addition to ThermoGenesis, he has served on the Board of Directors of several public companies, including Oxygen Biotherapeutics and Anika Therapeutics where he was Lead Independent Director and Chairman of the Board, respectively. Mr. Engle holds a BS in Accounting from the University of Colorado and an MBA in Finance from the University of Southern California. He has served as a Trustee of the Queen of the Valley Medical Center Foundation, was a Board Member of the Napa Valley Community Foundation, and at the Napa College Foundation. He was also Vice Chair of the Thunderbird Global Council at the Thunderbird School of Global Management in Glendale, Arizona.</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St. Clair, Sr. </w:t>
      </w:r>
      <w:r>
        <w:rPr>
          <w:rFonts w:ascii="Times New Roman" w:cs="Times New Roman" w:eastAsia="Times New Roman" w:hAnsi="Times New Roman"/>
          <w:sz w:val="18"/>
          <w:szCs w:val="18"/>
          <w:color w:val="auto"/>
        </w:rPr>
        <w:t>Mr. St. Clair was appointed to the Board on July 9, 2020. He is the Founder and Managing Member of SunStone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LLC, a healthcare consulting firm that has served healthcare providers throughout the United States since 2002. As frequently sought experts on issues related to compliance, reimbursement and revenue integrity, Mr. St.Clair and his team are constantly on-call to assist clients as they address financial challenges through creative solutions to the nation’s health systems. He is a nationally recognized expert by government regulators and health law attorneys regarding reimbursement and compliance matters. Previously, Mr. St.Clair worked as a national vice president for CGI, ImrGlobal, and Orion Consulting and as national director for Coopers &amp; Lybrand. He holds a B.A. in Accounting and Finance from Juniata College in Huntington, Pennsylvania.</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Nancy Chung-Welch, Ph.D. </w:t>
      </w:r>
      <w:r>
        <w:rPr>
          <w:rFonts w:ascii="Times New Roman" w:cs="Times New Roman" w:eastAsia="Times New Roman" w:hAnsi="Times New Roman"/>
          <w:sz w:val="18"/>
          <w:szCs w:val="18"/>
          <w:color w:val="auto"/>
        </w:rPr>
        <w:t>Dr. Chung-Welch was appointed to the Board on July 9, 2020. She is currently an independent consultant advising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life science companies 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Class III Directors for a Three-Year Term Ending at the 2024 Annual Meeting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Raymond F. Vennare </w:t>
      </w:r>
      <w:r>
        <w:rPr>
          <w:rFonts w:ascii="Times New Roman" w:cs="Times New Roman" w:eastAsia="Times New Roman" w:hAnsi="Times New Roman"/>
          <w:sz w:val="18"/>
          <w:szCs w:val="18"/>
          <w:color w:val="auto"/>
        </w:rPr>
        <w:t>was appointed to the Board on September 13, 2021. Mr. Vennare brings more than thirty years of experience to his work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and CEO of Cvergenx, Inc., a genomic informatics company developing decision-support tools for radiation oncology, and since 2019 has been on the Board of Directors of Cvergenx Technologies India Private, Ltd.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planned retirement, J. Melville Engle has announced his resignation as a Company officer, employee and director, effective October 31, 2022. The Board of Directors is in the process of assessing candidates to fill the Class II vacancy that will be created by Mr. Melville’s pending resignation, as well as the existing Class III vacancy that was created when former director, Christina Jenkins, M.D., resigned from the Board on August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of the shares present at the Annual Meeting or represented by proxy and entitled to vote on the election of directors at the Annual Meeting. The nominees receiving the most “For” votes will be elected. If no contrary indication is made, shares represented by executed proxies will be voted “For” the election of the nominees named above or, if any nominee becomes unavailable for election as a result of an unexpected occurrence, “For” the election of a substitute nominee designated by the Board. The nominees have agreed to serve as directors if elected, and the Company has no reason to believe that the nominees will be unable to serve.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the Class I directors nominated by the Board of Directors.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PREDICTIVE BOARD RECOMMENDS THAT YOU VOTE IN FAVOR OF THE CLASS I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 listing standards, a majority of the members of a listed company’s Board of Directors must qualify as “independent,” as affirmatively determined by the board of directors. The Board of Directors consults with our counsel to ensure that the Board of Directors’ determinations are consistent with relevant securities and other laws and regulations regarding the definition of “independent,” including those set forth in pertinent listing standards of the NASDAQ, as in effect from time to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the Company, its senior management, and its independent registered public accounting firm, the Board of Directors has determined that Chuck Nuzum, Nancy Chung-Welch, Ph.D., Greg St. Clair, Dan Handley, Ph.D. and Raymond F. Vennare are independent directors within the meaning of the NASDAQ listing standards. In making this determination, the Board of Directors found that none of these directors and nominees had a material or other disqualifying relationship with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March 19, 2021, J. Melville Engle had served as independent Board Chair since 2016. On March 19, 2021, Mr. Engle became the Company’s Chief Executive Officer and was no longer considered an independent director. The Board determined that it would be in the Company’s best interests to retain Mr. Engle as Board Chair. In April 2021, the Board appointed Chuck Nuzum as lead independent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Board-level risk oversight is primarily performed by our full Board, although the Audit Committee oversees our internal controls and regularly assesses financial and accounting processes and risks. Our risk oversight process includes an ongoing dialogue between management and the Board and the Audit Committee, intended to identify and analyze risks that face the Company. Through these discussions with management and their own business experience and knowledge, our directors are able to identify material risks for which a full analysis and risk mitigation plans may be necessary. The Board (or the Audit Committee, with respect to risks related to internal controls, financial and accounting matters) monitors risk mitigation action plans developed by management, to ensure such plans are implemented and are effective in reducing the targeted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has adopted the Code of Ethics of Predictive Oncology Inc. that applies to all officers, directors and employees of the Company. We intend to maintain high standards of ethical business practices and compliance with all laws and regulations applicable to our business. The Code of Ethics is available in print to any stockholder requesting a copy in writing from our Corporate Secretary at our executive office set forth on the cover page of this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may send communications to the Company’s Board of Directors, or to any individual Board member, by means of a letter to such individual Board member or the entire Board addressed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Board of Directors (or named Board member)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2915 Commers Drive, Suite 900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Eagan, Minnesota 55121</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stockholder is unsure as to which category the concern relates, the stockholder may communicate it to any one of the independent directors in care of Chief Financial Officer at the address of our principal executive offices listed above. All stockholder communications sent in care of our Chief Financial Officer will be forwarded promptly to the applicable director(s).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met five times during the fiscal year ended December 31, 2021. During that fiscal year, all directors attended at least 75% of the aggregate of the meetings of the Board of Directors and of the committees on which they served, and which were held during the period for which they were directors or committee members. In addition, the directors often communicate informally to discuss the affairs of the Company and, when appropriate, take formal action by written consent, in accordance with the Company’s Certificate of Incorporation, as amended, its Second Amended and Restated Bylaws and Delaware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2021, the Board of Directors maintained four committees: The Audit Committee, the Compensation Committee, the Nominating and Governance Committee and the Merger &amp; Acquisition Committee. Below is a description of each committee of the Board of Directors as these committees are presently constituted. The Board of Directors has determined that each current member of each committee meets the applicable SEC and NASDAQ rules and regulations regarding “independence” and that each member is free of any relationship that would impair his or her individual exercise of independent judgment with regards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the Board; Audit Committee Financial Expert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Audit Committee include, among other things:</w:t>
      </w:r>
    </w:p>
    <w:p>
      <w:pPr>
        <w:spacing w:after="0" w:line="22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independent and objective party to monitor the Company’s financial reporting process and internal control system;</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the independent auditors, financial and senior management, the internal auditing department, and the Board of Directors regarding the matters related to the committee’s responsibilities and duties.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Both our independent registered public accounting firm and management periodically meet privately with the Audit Committee.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Committee currently consists of Mr. Nuzum, as the chairperson, Dr. Chung-Welch and Mr. St. Clair. Each Audit Committee member is a non-employee director of the Board. The Board of Directors reviews the NASDAQ listing standards definition of independence for Audit Committee members on an annual basis and has determined that all current members of our Audit Committee are independent (as independence is currently defined in Rule 5605(a)(2) of the NASDAQ listing standards). The Audit Committee met eight times in fiscal year 2021.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three directors, Mr. Nuzum, as the chairperson, Dr. Chung-Welch, and Mr. St. Clair. All members of the Compensation Committee were appointed by the Board of Directors, and such committee consists entirely of directors who are “outside directors” for purposes of Section 162(m) of the Internal Revenue Code of 1986, as amended (the “Code”), “non-employee directors” for purposes of Rule 16b-3 under the Exchange Act and “independent” as independence is currently defined in Rule 4200(a)(15) of the NASDAQ listing standards. In fiscal 2021, the Compensation Committee met eight times.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compensation packages, including base salaries, incentive compensation, deferred compensation and stock-based compensation, for our executive officers;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incentive plans, and subject to Board approval in the case of executive officers, approving grants of stock, stock options and other equity awards under such plans;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employment agreements for our executive officers;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reviewing and administering compensation plans for members of the Board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Company’s compensation discussion and analysis with management;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any compensation committee report required to be included in the annual proxy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member of the Compensation Committee has been an executive officer or employee of ours while serving on the Committee.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The Nominating and Governance Committee of the Board of Directors currently consists of Dr. Handley, as the chairperson, Mr. Nuzum and Mr. Vennare. Dr. Handley and Messrs. Nuzum and Vennare are “independent directors,” as such term is defined by The NASDAQ Market Listing Rule 5605(a)</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 and free from any relationship that, in the opinion of the Board, would interfere with the exercise of his or her independent judgment as a member of the Committee. The Nominating and Governance Committee met four times during fiscal year 2021.</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 of the Nominating and Governance Committee is to:</w:t>
      </w:r>
    </w:p>
    <w:p>
      <w:pPr>
        <w:spacing w:after="0" w:line="225"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make recommendations to the Board on all matters pertaining to the effectiveness of the Board, including with respect to:</w:t>
      </w:r>
    </w:p>
    <w:p>
      <w:pPr>
        <w:spacing w:after="0" w:line="27" w:lineRule="exact"/>
        <w:rPr>
          <w:rFonts w:ascii="Times New Roman" w:cs="Times New Roman" w:eastAsia="Times New Roman" w:hAnsi="Times New Roman"/>
          <w:sz w:val="18"/>
          <w:szCs w:val="18"/>
          <w:color w:val="auto"/>
        </w:rPr>
      </w:pPr>
    </w:p>
    <w:p>
      <w:pPr>
        <w:jc w:val="both"/>
        <w:ind w:left="1300" w:firstLine="4"/>
        <w:spacing w:after="0" w:line="253" w:lineRule="auto"/>
        <w:tabs>
          <w:tab w:leader="none" w:pos="15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 (ii) individuals qualified to become Directors; (iii) nominees to the Board for action at the next annual meeting of stockholders; (iv) the structure and composition of the committees of the Board; (v) Board compensation; (vi) evaluation of the Directors, Committees and the Board; and (vii) overseeing the staggered annual Board elections.</w:t>
      </w:r>
    </w:p>
    <w:p>
      <w:pPr>
        <w:spacing w:after="0" w:line="18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and management on Company policies and practices that pertain to the Company’s responsibilities as a global corporate citizen, its special obligations as a biotechnology company whose products and services affect health and quality of life around the world, and its commitment to the highest standards of ethics and integrity in all its dealings.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 leadership role in shaping the corporate governance of the Company, including the development of a set of corporate governance guidelines.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furtherance of its purposes, the Nominating and Governance Committee:</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size and composition of the Board and makes recommendations to the Board as appropriate. The Committee has authority, with management consultation, for the engagement and termination of any search firm to be used to identify Director candidates and to approve engagement fees and terms for such firms.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criteria for election to the Board and recommends candidates for Board membership.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policies concerning retirement from the Board and, as appropriate, makes recommendations to the Board for changes in policy.</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structure and composition of Board committees and makes recommendations concerning the membership and the chairmanship of each committee based on seniority, expertise and other relevant considerations.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Considers and makes recommendations to the Board concerning such other matters relating to the practices, policies and performance of the Board as may be appropriate from time-to-time.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reports to the Board on the Committee’s activities and informs the Board promptly of any issues or concerns.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related person transactions and approves, disapproves or ratifies such transactions in accordance with the Related Person Transaction Policy under the Policies of the Board and under the purview of the Audit Committee.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reviews the Board’s approach to determining Director independence and recommends changes as appropriate for consideration and approval by the full Board.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D&amp;O indemnity and Fiduciary Liability Insurance coverage for the Company's Officers and non-employee Directors.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public policy positions and strategy regarding political engagement, and corporate responsibility initiatives with significant financial reputational impact, as appropriate.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and evaluates the Company’s corporate citizenship and corporate responsibility programs and activities, including the support of charitable, political and educational organizations and political candidates and causes.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makes recommendations to the Board on proposals that relate to corporate governance, public policy and/or corporate responsibility issues submitted by stockholders for inclusion in the Company’s proxy materials.</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recommends, as appropriate, external and internal training and educational opportunities for Directors in areas of importance to the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plan to periodically review and update the Committee’s Charter as necessary.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&amp; Acquisition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&amp; Acquisition Committee of the Board of Directors currently consists of Mr. Raymond Vennare, serving as chairperson, Dr. Chung-Welch and Mr. Engle. The Merger &amp; Acquisition Committee advises the Company with respect to any considered mergers, acquisitions, joint ventures and/or consolidations of any type.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Diversity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Governance and Nominating Committee of the Board of Directors considers and makes recommendations to the Board on all matters pertaining to the effectiveness of the Board, such as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 Except as described in this proxy statement, since the beginning of fiscal 2021, there were no related party transactions arising or existing requiring disclosure as required pursuant to NASDAQ listing standards, SEC rules and regulations or the Company’s policy and procedures.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One of our former directors, Richard L. Gabriel, is the Chief Operating Officer and serves as a director of GLG Pharma (“GLG”). GLG and we have a partnership agreement with Helomics for the purpose of bringing together their proprietary technologies to build out a personalized medicine platform for the diagnosis and treatment of women’s cancer. There has been no revenue or expenses generated by this partnership to date. Mr. Gabriel was also contracted as the President for TumorGenesis, our wholly owned subsidiary, while he was a member of the Board, and Mr. Gabriel received $13,250 in monthly cash payments. On May 1, 2021, Mr. Gabriel resigned from the Board to assume a management position with the Company. Mr. Gabriel’s employment with the Company subsequently terminated on September 30, 2022.</w:t>
      </w:r>
    </w:p>
    <w:p>
      <w:pPr>
        <w:spacing w:after="0" w:line="18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equity compensation plan information as of December 31, 2021:</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840" w:type="dxa"/>
            <w:vAlign w:val="bottom"/>
            <w:tcBorders>
              <w:top w:val="single" w:sz="8" w:color="auto"/>
              <w:left w:val="single" w:sz="8" w:color="auto"/>
              <w:right w:val="single" w:sz="8" w:color="auto"/>
            </w:tcBorders>
          </w:tcPr>
          <w:p>
            <w:pPr>
              <w:spacing w:after="0"/>
              <w:rPr>
                <w:sz w:val="18"/>
                <w:szCs w:val="18"/>
                <w:color w:val="auto"/>
              </w:rPr>
            </w:pP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 Issued</w:t>
            </w:r>
          </w:p>
        </w:tc>
        <w:tc>
          <w:tcPr>
            <w:tcW w:w="2820" w:type="dxa"/>
            <w:vAlign w:val="bottom"/>
            <w:tcBorders>
              <w:top w:val="single" w:sz="8" w:color="auto"/>
              <w:right w:val="single" w:sz="8" w:color="auto"/>
            </w:tcBorders>
          </w:tcPr>
          <w:p>
            <w:pPr>
              <w:spacing w:after="0"/>
              <w:rPr>
                <w:sz w:val="18"/>
                <w:szCs w:val="18"/>
                <w:color w:val="auto"/>
              </w:rPr>
            </w:pP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20" w:type="dxa"/>
            <w:vAlign w:val="bottom"/>
            <w:tcBorders>
              <w:right w:val="single" w:sz="8" w:color="auto"/>
            </w:tcBorders>
          </w:tcPr>
          <w:p>
            <w:pPr>
              <w:spacing w:after="0"/>
              <w:rPr>
                <w:sz w:val="9"/>
                <w:szCs w:val="9"/>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 for Future Issuance</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upon Exercise of Outstanding</w:t>
            </w:r>
          </w:p>
        </w:tc>
        <w:tc>
          <w:tcPr>
            <w:tcW w:w="28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Exercise Price of</w:t>
            </w:r>
          </w:p>
        </w:tc>
        <w:tc>
          <w:tcPr>
            <w:tcW w:w="2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vMerge w:val="continue"/>
          </w:tcPr>
          <w:p>
            <w:pPr>
              <w:spacing w:after="0"/>
              <w:rPr>
                <w:sz w:val="16"/>
                <w:szCs w:val="16"/>
                <w:color w:val="auto"/>
              </w:rPr>
            </w:pPr>
          </w:p>
        </w:tc>
        <w:tc>
          <w:tcPr>
            <w:tcW w:w="2820" w:type="dxa"/>
            <w:vAlign w:val="bottom"/>
            <w:tcBorders>
              <w:right w:val="single" w:sz="8" w:color="auto"/>
            </w:tcBorders>
            <w:vMerge w:val="continue"/>
          </w:tcPr>
          <w:p>
            <w:pPr>
              <w:spacing w:after="0"/>
              <w:rPr>
                <w:sz w:val="16"/>
                <w:szCs w:val="16"/>
                <w:color w:val="auto"/>
              </w:rPr>
            </w:pPr>
          </w:p>
        </w:tc>
        <w:tc>
          <w:tcPr>
            <w:tcW w:w="278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Under Equity Compensation Plans</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 Warrants and</w:t>
            </w:r>
          </w:p>
        </w:tc>
        <w:tc>
          <w:tcPr>
            <w:tcW w:w="28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Options, Warrants (b)</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(Excluding Securities Reflected in</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(a)</w:t>
            </w:r>
          </w:p>
        </w:tc>
        <w:tc>
          <w:tcPr>
            <w:tcW w:w="28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0" w:type="dxa"/>
            <w:vAlign w:val="bottom"/>
          </w:tcPr>
          <w:p>
            <w:pPr>
              <w:spacing w:after="0"/>
              <w:rPr>
                <w:sz w:val="1"/>
                <w:szCs w:val="1"/>
                <w:color w:val="auto"/>
              </w:rPr>
            </w:pPr>
          </w:p>
        </w:tc>
      </w:tr>
      <w:tr>
        <w:trPr>
          <w:trHeight w:val="54"/>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28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800" w:type="dxa"/>
            <w:vAlign w:val="bottom"/>
            <w:tcBorders>
              <w:right w:val="single" w:sz="8" w:color="auto"/>
            </w:tcBorders>
            <w:vMerge w:val="restart"/>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1,804,537</w:t>
            </w:r>
          </w:p>
        </w:tc>
        <w:tc>
          <w:tcPr>
            <w:tcW w:w="2820" w:type="dxa"/>
            <w:vAlign w:val="bottom"/>
            <w:tcBorders>
              <w:right w:val="single" w:sz="8" w:color="auto"/>
            </w:tcBorders>
            <w:vMerge w:val="restart"/>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$4.83</w:t>
            </w:r>
          </w:p>
        </w:tc>
        <w:tc>
          <w:tcPr>
            <w:tcW w:w="2780" w:type="dxa"/>
            <w:vAlign w:val="bottom"/>
            <w:tcBorders>
              <w:right w:val="single" w:sz="8" w:color="auto"/>
            </w:tcBorders>
            <w:vMerge w:val="restart"/>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1,015,187</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security holders (1)</w:t>
            </w: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2820" w:type="dxa"/>
            <w:vAlign w:val="bottom"/>
            <w:tcBorders>
              <w:right w:val="single" w:sz="8" w:color="auto"/>
            </w:tcBorders>
            <w:vMerge w:val="continue"/>
            <w:shd w:val="clear" w:color="auto" w:fill="CCEEFF"/>
          </w:tcPr>
          <w:p>
            <w:pPr>
              <w:spacing w:after="0"/>
              <w:rPr>
                <w:sz w:val="10"/>
                <w:szCs w:val="10"/>
                <w:color w:val="auto"/>
              </w:rPr>
            </w:pPr>
          </w:p>
        </w:tc>
        <w:tc>
          <w:tcPr>
            <w:tcW w:w="278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2800" w:type="dxa"/>
            <w:vAlign w:val="bottom"/>
            <w:tcBorders>
              <w:bottom w:val="single" w:sz="8" w:color="auto"/>
              <w:right w:val="single" w:sz="8" w:color="auto"/>
            </w:tcBorders>
            <w:shd w:val="clear" w:color="auto" w:fill="CCEEFF"/>
          </w:tcPr>
          <w:p>
            <w:pPr>
              <w:spacing w:after="0"/>
              <w:rPr>
                <w:sz w:val="9"/>
                <w:szCs w:val="9"/>
                <w:color w:val="auto"/>
              </w:rPr>
            </w:pPr>
          </w:p>
        </w:tc>
        <w:tc>
          <w:tcPr>
            <w:tcW w:w="2820" w:type="dxa"/>
            <w:vAlign w:val="bottom"/>
            <w:tcBorders>
              <w:bottom w:val="single" w:sz="8" w:color="auto"/>
              <w:right w:val="single" w:sz="8" w:color="auto"/>
            </w:tcBorders>
            <w:shd w:val="clear" w:color="auto" w:fill="CCEEFF"/>
          </w:tcPr>
          <w:p>
            <w:pPr>
              <w:spacing w:after="0"/>
              <w:rPr>
                <w:sz w:val="9"/>
                <w:szCs w:val="9"/>
                <w:color w:val="auto"/>
              </w:rPr>
            </w:pPr>
          </w:p>
        </w:tc>
        <w:tc>
          <w:tcPr>
            <w:tcW w:w="278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800" w:type="dxa"/>
            <w:vAlign w:val="bottom"/>
            <w:tcBorders>
              <w:right w:val="single" w:sz="8" w:color="auto"/>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2820" w:type="dxa"/>
            <w:vAlign w:val="bottom"/>
            <w:tcBorders>
              <w:right w:val="single" w:sz="8" w:color="auto"/>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tcBorders>
              <w:right w:val="single" w:sz="8" w:color="auto"/>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00" w:type="dxa"/>
            <w:vAlign w:val="bottom"/>
            <w:tcBorders>
              <w:right w:val="single" w:sz="8" w:color="auto"/>
            </w:tcBorders>
            <w:vMerge w:val="continue"/>
          </w:tcPr>
          <w:p>
            <w:pPr>
              <w:spacing w:after="0"/>
              <w:rPr>
                <w:sz w:val="10"/>
                <w:szCs w:val="10"/>
                <w:color w:val="auto"/>
              </w:rPr>
            </w:pPr>
          </w:p>
        </w:tc>
        <w:tc>
          <w:tcPr>
            <w:tcW w:w="2820" w:type="dxa"/>
            <w:vAlign w:val="bottom"/>
            <w:tcBorders>
              <w:right w:val="single" w:sz="8" w:color="auto"/>
            </w:tcBorders>
            <w:vMerge w:val="continue"/>
          </w:tcPr>
          <w:p>
            <w:pPr>
              <w:spacing w:after="0"/>
              <w:rPr>
                <w:sz w:val="10"/>
                <w:szCs w:val="10"/>
                <w:color w:val="auto"/>
              </w:rPr>
            </w:pPr>
          </w:p>
        </w:tc>
        <w:tc>
          <w:tcPr>
            <w:tcW w:w="2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20" w:type="dxa"/>
            <w:vAlign w:val="bottom"/>
            <w:tcBorders>
              <w:bottom w:val="single" w:sz="8" w:color="auto"/>
              <w:right w:val="single" w:sz="8" w:color="auto"/>
            </w:tcBorders>
          </w:tcPr>
          <w:p>
            <w:pPr>
              <w:spacing w:after="0"/>
              <w:rPr>
                <w:sz w:val="9"/>
                <w:szCs w:val="9"/>
                <w:color w:val="auto"/>
              </w:rPr>
            </w:pPr>
          </w:p>
        </w:tc>
        <w:tc>
          <w:tcPr>
            <w:tcW w:w="2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8"/>
        <w:spacing w:after="0" w:line="282" w:lineRule="auto"/>
        <w:tabs>
          <w:tab w:leader="none" w:pos="2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options under the 2008 Equity Incentive Plan and the 2012 Stock Incentive Plan. The remaining share authorization under the 2008 Equity Incentive Plan was rolled over to the current 2012 Stock Incentive Plan (as amended, the “2012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10240" w:type="dxa"/>
            <w:vAlign w:val="bottom"/>
            <w:gridSpan w:val="5"/>
          </w:tcPr>
          <w:p>
            <w:pPr>
              <w:ind w:left="2660"/>
              <w:spacing w:after="0"/>
              <w:rPr>
                <w:sz w:val="20"/>
                <w:szCs w:val="20"/>
                <w:color w:val="auto"/>
              </w:rPr>
            </w:pPr>
            <w:r>
              <w:rPr>
                <w:rFonts w:ascii="Times New Roman" w:cs="Times New Roman" w:eastAsia="Times New Roman" w:hAnsi="Times New Roman"/>
                <w:sz w:val="18"/>
                <w:szCs w:val="18"/>
                <w:b w:val="1"/>
                <w:bCs w:val="1"/>
                <w:color w:val="auto"/>
              </w:rPr>
              <w:t>INFORMATION REGARDING OUR CURRENT EXECUTIVE OFFICERS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current executive officers.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10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0" w:type="dxa"/>
            <w:vAlign w:val="bottom"/>
          </w:tcPr>
          <w:p>
            <w:pPr>
              <w:spacing w:after="0"/>
              <w:rPr>
                <w:sz w:val="1"/>
                <w:szCs w:val="1"/>
                <w:color w:val="auto"/>
              </w:rPr>
            </w:pP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 Melville Engle</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Bob Myers</w:t>
            </w:r>
          </w:p>
        </w:tc>
        <w:tc>
          <w:tcPr>
            <w:tcW w:w="120" w:type="dxa"/>
            <w:vAlign w:val="bottom"/>
          </w:tcPr>
          <w:p>
            <w:pPr>
              <w:spacing w:after="0"/>
              <w:rPr>
                <w:sz w:val="20"/>
                <w:szCs w:val="20"/>
                <w:color w:val="auto"/>
              </w:rPr>
            </w:pPr>
          </w:p>
        </w:tc>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Principal Occupation, Business Experience For the Past Five Years and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720" w:type="dxa"/>
            <w:vAlign w:val="bottom"/>
            <w:tcBorders>
              <w:bottom w:val="single" w:sz="8" w:color="auto"/>
            </w:tcBorders>
            <w:gridSpan w:val="2"/>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Directorships of Public Companies</w:t>
            </w: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 Melville Engle</w:t>
            </w:r>
          </w:p>
        </w:tc>
        <w:tc>
          <w:tcPr>
            <w:tcW w:w="120" w:type="dxa"/>
            <w:vAlign w:val="bottom"/>
            <w:shd w:val="clear" w:color="auto" w:fill="CCEEFF"/>
          </w:tcPr>
          <w:p>
            <w:pPr>
              <w:spacing w:after="0"/>
              <w:rPr>
                <w:sz w:val="17"/>
                <w:szCs w:val="17"/>
                <w:color w:val="auto"/>
              </w:rPr>
            </w:pPr>
          </w:p>
        </w:tc>
        <w:tc>
          <w:tcPr>
            <w:tcW w:w="774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Mr. Engle’s biography is included above under the section titled “PROPOSAL NO. 1: ELECTION OF</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CCEEFF"/>
          </w:tcPr>
          <w:p>
            <w:pPr>
              <w:spacing w:after="0"/>
              <w:rPr>
                <w:sz w:val="20"/>
                <w:szCs w:val="20"/>
                <w:color w:val="auto"/>
              </w:rPr>
            </w:pPr>
          </w:p>
        </w:tc>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Bob Myers</w:t>
            </w:r>
          </w:p>
        </w:tc>
        <w:tc>
          <w:tcPr>
            <w:tcW w:w="120" w:type="dxa"/>
            <w:vAlign w:val="bottom"/>
          </w:tcPr>
          <w:p>
            <w:pPr>
              <w:spacing w:after="0"/>
              <w:rPr>
                <w:sz w:val="24"/>
                <w:szCs w:val="24"/>
                <w:color w:val="auto"/>
              </w:rPr>
            </w:pPr>
          </w:p>
        </w:tc>
        <w:tc>
          <w:tcPr>
            <w:tcW w:w="7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Effective July 1, 2012, Mr. Myers was appointed as our Chief Financial Officer. Mr. Myers was our Acting</w:t>
            </w:r>
          </w:p>
        </w:tc>
        <w:tc>
          <w:tcPr>
            <w:tcW w:w="0" w:type="dxa"/>
            <w:vAlign w:val="bottom"/>
          </w:tcPr>
          <w:p>
            <w:pPr>
              <w:spacing w:after="0"/>
              <w:rPr>
                <w:sz w:val="1"/>
                <w:szCs w:val="1"/>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tc>
        <w:tc>
          <w:tcPr>
            <w:tcW w:w="120" w:type="dxa"/>
            <w:vAlign w:val="bottom"/>
          </w:tcPr>
          <w:p>
            <w:pPr>
              <w:spacing w:after="0"/>
              <w:rPr>
                <w:sz w:val="18"/>
                <w:szCs w:val="18"/>
                <w:color w:val="auto"/>
              </w:rPr>
            </w:pPr>
          </w:p>
        </w:tc>
        <w:tc>
          <w:tcPr>
            <w:tcW w:w="77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Chief Financial Officer and Corporate Secretary since December 2011. He has over 40 years’ experience in</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multiple industries focusing on medical device, service and manufacturing and prior to joining the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was a financial contractor represented by various contracting firms in the Minneapolis area. He</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has spent much of his career as a Chief Financial Officer and/or Controller. Mr. Myers was a contract CFO</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Disetronic Medical, contract Corporate Controller for Diametric Medical Devices and contract CFO for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jc w:val="both"/>
        <w:ind w:left="3500"/>
        <w:spacing w:after="0" w:line="253" w:lineRule="auto"/>
        <w:rPr>
          <w:sz w:val="20"/>
          <w:szCs w:val="20"/>
          <w:color w:val="auto"/>
        </w:rPr>
      </w:pPr>
      <w:r>
        <w:rPr>
          <w:rFonts w:ascii="Times New Roman" w:cs="Times New Roman" w:eastAsia="Times New Roman" w:hAnsi="Times New Roman"/>
          <w:sz w:val="18"/>
          <w:szCs w:val="18"/>
          <w:color w:val="auto"/>
        </w:rPr>
        <w:t>Cannon Equipment. Previously he held executive positions with American Express, Capitol Distributors, and International Creative Management and was a public accountant with the international firm of Laventhol &amp; Horwath. Mr. Myers has an MBA in Finance from Adelphi University and a BBA in Public Accounting from Hofstra University.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his planned retirement, J. Melville Engle has announced his resignation as a Company officer, employee and director, effective October 31, 2022.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the compensation of (i) each individual who served as our principal executive officer during 2021, and (ii) our two most highly compensated other executive officers who were serving as executive officers at the end of 2021 and who received more than $100,000 in the form of salary and bonus during such year. We refer to these individuals as our “Named Executive Officers.” Our named executive officers are:</w:t>
      </w:r>
    </w:p>
    <w:p>
      <w:pPr>
        <w:spacing w:after="0" w:line="176" w:lineRule="exact"/>
        <w:rPr>
          <w:sz w:val="20"/>
          <w:szCs w:val="20"/>
          <w:color w:val="auto"/>
        </w:rPr>
      </w:pPr>
    </w:p>
    <w:p>
      <w:pPr>
        <w:ind w:left="1140" w:hanging="56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Melville Engle., Chief Executive Officer;</w:t>
      </w:r>
    </w:p>
    <w:p>
      <w:pPr>
        <w:spacing w:after="0" w:line="27"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Schwartz, Former Chief Executive Officer; and</w:t>
      </w:r>
    </w:p>
    <w:p>
      <w:pPr>
        <w:spacing w:after="0" w:line="9"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Bob Myers, Chief Financial Officer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2021 and 2020</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during the fiscal years ended December 31, 2021 and December 31, 2020 by each of the Named Executive Officers: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8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40" w:type="dxa"/>
            <w:vAlign w:val="bottom"/>
          </w:tcPr>
          <w:p>
            <w:pPr>
              <w:spacing w:after="0"/>
              <w:rPr>
                <w:sz w:val="18"/>
                <w:szCs w:val="18"/>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8"/>
                <w:szCs w:val="18"/>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4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3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2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80" w:type="dxa"/>
            <w:vAlign w:val="bottom"/>
          </w:tcPr>
          <w:p>
            <w:pPr>
              <w:spacing w:after="0"/>
              <w:rPr>
                <w:sz w:val="20"/>
                <w:szCs w:val="20"/>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r>
      <w:tr>
        <w:trPr>
          <w:trHeight w:val="216"/>
        </w:trPr>
        <w:tc>
          <w:tcPr>
            <w:tcW w:w="2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2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 Melville Engle, CEO </w:t>
            </w:r>
            <w:r>
              <w:rPr>
                <w:rFonts w:ascii="Times New Roman" w:cs="Times New Roman" w:eastAsia="Times New Roman" w:hAnsi="Times New Roman"/>
                <w:sz w:val="29"/>
                <w:szCs w:val="29"/>
                <w:color w:val="auto"/>
                <w:vertAlign w:val="superscript"/>
              </w:rPr>
              <w:t>(2)</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391,342</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391,342</w:t>
            </w:r>
          </w:p>
        </w:tc>
      </w:tr>
      <w:tr>
        <w:trPr>
          <w:trHeight w:val="216"/>
        </w:trPr>
        <w:tc>
          <w:tcPr>
            <w:tcW w:w="2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2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Carl Schwartz, former CEO </w:t>
            </w:r>
            <w:r>
              <w:rPr>
                <w:rFonts w:ascii="Times New Roman" w:cs="Times New Roman" w:eastAsia="Times New Roman" w:hAnsi="Times New Roman"/>
                <w:sz w:val="29"/>
                <w:szCs w:val="29"/>
                <w:color w:val="auto"/>
                <w:vertAlign w:val="superscript"/>
              </w:rPr>
              <w:t>(3)</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541,827</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582,280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163,493</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1,287,600</w:t>
            </w:r>
          </w:p>
        </w:tc>
      </w:tr>
      <w:tr>
        <w:trPr>
          <w:trHeight w:val="216"/>
        </w:trPr>
        <w:tc>
          <w:tcPr>
            <w:tcW w:w="268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430,000</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46,002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476,002</w:t>
            </w:r>
          </w:p>
        </w:tc>
      </w:tr>
      <w:tr>
        <w:trPr>
          <w:trHeight w:val="216"/>
        </w:trPr>
        <w:tc>
          <w:tcPr>
            <w:tcW w:w="2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57"/>
        </w:trPr>
        <w:tc>
          <w:tcPr>
            <w:tcW w:w="2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Bob Myers, CFO </w:t>
            </w:r>
            <w:r>
              <w:rPr>
                <w:rFonts w:ascii="Times New Roman" w:cs="Times New Roman" w:eastAsia="Times New Roman" w:hAnsi="Times New Roman"/>
                <w:sz w:val="29"/>
                <w:szCs w:val="29"/>
                <w:color w:val="auto"/>
                <w:vertAlign w:val="superscript"/>
              </w:rPr>
              <w:t>(4)</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371,965</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37,667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429,632</w:t>
            </w:r>
          </w:p>
        </w:tc>
      </w:tr>
      <w:tr>
        <w:trPr>
          <w:trHeight w:val="216"/>
        </w:trPr>
        <w:tc>
          <w:tcPr>
            <w:tcW w:w="2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327,838</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15,334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343,172</w:t>
            </w:r>
          </w:p>
        </w:tc>
      </w:tr>
    </w:tbl>
    <w:p>
      <w:pPr>
        <w:spacing w:after="0" w:line="196"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actual compensation cost granted during 2021 and 2020 as determined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19, 2021, Mr. Engle was named Chief Executive Officer. Mr. Engle received an annual salary of $475,000. Mr. Engle is eligible for a Long-Term Incentive Program (“LTIP”) structured to reward performance. The LTIP awards will each vest after three years (rolling) subject to continued employment, with the amount that vests to be based on two or more measures of employment performance, including shareholder return (increase in common stock price and accomplishment of profit budgets). The LTIP awards consist of 300,000 Restricted Stock Unit’s (“RSU’s”). Each RSU awards consists of three equal tranches, corresponding to the three years in the performance period. The level of vesting for each tranche will vary based on (1) the level of achievement of performance goals for the corresponding fiscal year and (2) continued employment of Mr. Engle through January 1, 2024. On February 28, 2022, Mr. Engle received an annual increase to $524,400. Mr. Engle received a 2021 bonus of $191,760, paid in 2022. In connection with his planned retirement, J. Melville Engle has announced his resignation as a Company officer, employee and director, effective October 31, 2022.</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March 19, 2021, Dr. Schwartz resigned as Chief Executive Officer. Dr. Schwartz received a retirement package for $460,000 in base salary, unused accrued vacation for $81,827 and the vesting of all RSU’s equaling 400,000 shares of POAI common stock, par value $0.01. Additionally, Dr. Schwartz received interest payments completing his original loan debt from prior years. Dr. Schwartz received a salary increase to $460,000 annually on September 23, 2020 retroactively effective to July 1, 2020. Dr. Schwartz received 300,000 restricted stock units on September 23, 2020, payable in shares of common stock and vesting in equal annual installments over three years.</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Myers received a cash bonus of $20,000 in 2021 awarded by the Board of Directors. Mr. Myers received 23,134 shares of common stock in 2021, due to vesting of his September 23, 2020 RSU’s. Mr. Myers is eligible for a Long-Term Incentive Program (“LTIP”) structured to reward performance. The LTIP awards will each vest after three years (rolling) subject to continued employment, with the amount that vests to be based on two or more measures of employment performance, including shareholder return (increase in common stock price and accomplishment of profit budgets). The LTIP awards consist of 150,000 Restricted Stock Unit’s (“RSU’s”). Each RSU awards consists of three equal tranches, corresponding to the three years in the performance period. The level of vesting for each tranche will vary based on (1) the level of achievement of performance goals for the corresponding fiscal year and (2) continued employment of Mr. Myers through January 1, 2024. On February 28, 2022, Mr. Myers received an annual salary increase to $380,880. Mr. Myers received a 2021 bonus of $106,950, paid in 2022. Mr. Myers received a salary increase to $345,000 annually on September 23, 2020 retroactively effective to July 1, 2020. Mr. Myers received 100,000 restricted stock units on September 23, 2020, payable in shares of common stock and vesting in equal annual installments over three years.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held by the named executive officers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r>
      <w:tr>
        <w:trPr>
          <w:trHeight w:val="187"/>
        </w:trPr>
        <w:tc>
          <w:tcPr>
            <w:tcW w:w="16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2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360" w:type="dxa"/>
            <w:vAlign w:val="bottom"/>
          </w:tcPr>
          <w:p>
            <w:pPr>
              <w:spacing w:after="0"/>
              <w:rPr>
                <w:sz w:val="18"/>
                <w:szCs w:val="18"/>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5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Of Units of Stock</w:t>
            </w: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360" w:type="dxa"/>
            <w:vAlign w:val="bottom"/>
          </w:tcPr>
          <w:p>
            <w:pPr>
              <w:spacing w:after="0"/>
              <w:rPr>
                <w:sz w:val="18"/>
                <w:szCs w:val="18"/>
                <w:color w:val="auto"/>
              </w:rPr>
            </w:pPr>
          </w:p>
        </w:tc>
        <w:tc>
          <w:tcPr>
            <w:tcW w:w="13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24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That Have</w:t>
            </w:r>
          </w:p>
        </w:tc>
      </w:tr>
      <w:tr>
        <w:trPr>
          <w:trHeight w:val="238"/>
        </w:trPr>
        <w:tc>
          <w:tcPr>
            <w:tcW w:w="1660" w:type="dxa"/>
            <w:vAlign w:val="bottom"/>
          </w:tcPr>
          <w:p>
            <w:pPr>
              <w:spacing w:after="0"/>
              <w:rPr>
                <w:sz w:val="20"/>
                <w:szCs w:val="20"/>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36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24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Not Vested</w:t>
            </w: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Melville Engle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12/31/2016</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28.00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3/31/2017</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21.00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3/31/2027</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6/22/2017</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12,500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6/22/2027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6/30/2017</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14.70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6/30/2027</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9/30/2017</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9/30/2027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12/31/2017</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2,475</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12/31/2027</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3/31/2018</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11.00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3/31/2028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6/30/2018</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11.30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6/30/2028</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9/30/2018</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10.60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9/30/2028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12/31/2018</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6.19</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12/31/2028</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3/31/2019</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4/4/2019</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12,500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7.48</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4/4/2029</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6/30/2019</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7.48</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9/30/2019</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5.05</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9/30/2029</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12/31/2019</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13,410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2.61</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3/31/2020</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3/31/2030</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4/3/2020</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15,267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1.31</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4/3/2030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6/30/2020</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6/30/2030</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9/30/2020</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6,142</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0.81</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9/30/2030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12/31/2020</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47,788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0.73</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12/31/2030</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5/17/2021</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285,570</w:t>
            </w: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Schwartz</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7/19/2013</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7/19/2023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6/30/2015</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6/30/2025</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6/30/2015</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775.00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6/30/2025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3/31/2016</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42.50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3/31/2026</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6/30/2016</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37.50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6/30/2026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9/30/2016</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41.25</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9/30/2026</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12/31/2016</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12/31/2016</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28.00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12/31/2026</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3/31/2017</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21.00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3/31/2027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6/22/2017</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37,689</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6/22/2027</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11/10/2017</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11/10/2027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1/2/2018</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14,175</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1/2/2028</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6/30/2018</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12,168</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6/30/2028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8/1/2018</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4,490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8/1/2028</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1/2/2019</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32,305</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4/4/2019</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4/4/2029</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7/1/2019</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7.90</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8/1/2019</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6.50</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8/1/2029</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9/1/2019</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6,050</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5.51</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3/31/2020</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3,174</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3/31/2030</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6/30/2020</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3,049</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6/30/2030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9/30/2020</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6,142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0.81</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9/30/2030</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12/31/2020</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20,481</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0.73</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12/31/2030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Bob Myers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8/13/2012</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8/13/2022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3/18/2013</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3/18/2023</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3/6/2014</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3/6/2024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9/16/2016</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9/16/2026</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6/22/2017</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30,411</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6/22/2027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4/4/2019</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16,600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1.54</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4/4/2029</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6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9/23/2020</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63,459</w:t>
            </w:r>
          </w:p>
        </w:tc>
      </w:tr>
      <w:tr>
        <w:trPr>
          <w:trHeight w:val="234"/>
        </w:trPr>
        <w:tc>
          <w:tcPr>
            <w:tcW w:w="16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5/17/2021</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142,785</w:t>
            </w:r>
          </w:p>
        </w:tc>
      </w:tr>
    </w:tbl>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1240"/>
          </w:cols>
          <w:pgMar w:left="320" w:top="576" w:right="339" w:bottom="1058"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 for Fiscal 2021</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an important element of our executive compensation program as it provides executives with a fixed, regular, non-contingent 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stock options.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reviews the Chief Executive Officer’s salary at least annually. The Compensation Committee may recommend adjustments to the Chief Executive Officer’s base salary based upon the Compensation Committee’s review of his/her current base salary, incentive cash compensation and equity-based compensation, as well as his/her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utilizing comparative data, the Compensation Committee seeks to recommend salaries for each executive at a level that is appropriate after considering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Bonuses. </w:t>
      </w:r>
      <w:r>
        <w:rPr>
          <w:rFonts w:ascii="Times New Roman" w:cs="Times New Roman" w:eastAsia="Times New Roman" w:hAnsi="Times New Roman"/>
          <w:sz w:val="18"/>
          <w:szCs w:val="18"/>
          <w:color w:val="auto"/>
        </w:rPr>
        <w:t>Until 2018, the Chief Financial Officer received 20% contractual annual cash bonuses. Any other bonuses for the CFO, as well as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CEO, if offered, were determined by the Compensation Committee. The bonuses in past years were a combination of cash and employee stock options. The CFO signed an amended contract whereby the contractual bonuses were removed after August 1, 2018. All bonuses after 2018 became part of a structured program established by the Compensation Committee and approved by the Board of Directors.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and Other Equity Grants. </w:t>
      </w:r>
      <w:r>
        <w:rPr>
          <w:rFonts w:ascii="Times New Roman" w:cs="Times New Roman" w:eastAsia="Times New Roman" w:hAnsi="Times New Roman"/>
          <w:sz w:val="18"/>
          <w:szCs w:val="18"/>
          <w:color w:val="auto"/>
        </w:rPr>
        <w:t>Consistent with our compensation philosophies related to performance-based compensation,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value creation and alignment of executive interests with those of stockholders, we make periodic grants of long-term compensation in the form of stock options to our executive officers, directors and others in the organization.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Stock options provide executive officers with the opportunity to purchase common stock at a price fixed on the grant date regardless of future market price. A stock option becomes valuable only if the common stock price increases above the option exercise price and the holder of the option remains employed during the period required for the option shares to vest. This provides an incentive for an option holder to remain employed by us. In addition, stock options link a significant portion of an employee’s compensation to stockholders’ interests by providing an incentive to achieve corporate goals and increase stockholder value. Under our Amended and Restated 2012 Stock Incentive Plan (the “2012 Plan”), we may also make grants of restricted stock awards, restricted stock units, performance share awards, performance unit awards and stock appreciation rights to officers and other employees. We adopted the 2012 Plan to give us flexibility in the types of awards that we could grant to our executive officers and other employees.</w:t>
      </w:r>
    </w:p>
    <w:p>
      <w:pPr>
        <w:spacing w:after="0" w:line="18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Consistent with our compensation philosophies related to performance-based compensation, long-term stockholder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creation and alignment of executive interests with those of stockholders, we make periodic grants of long-term compensation in the form of restricted stock units to our executive officers.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stock units provide executive officers with stock that is not fully transferable until certain conditions are met. Upon satisfaction of the conditions, the stock is no longer restricted, and becomes transferable to the officer.</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Perquisites; Other Benefits. </w:t>
      </w:r>
      <w:r>
        <w:rPr>
          <w:rFonts w:ascii="Times New Roman" w:cs="Times New Roman" w:eastAsia="Times New Roman" w:hAnsi="Times New Roman"/>
          <w:sz w:val="18"/>
          <w:szCs w:val="18"/>
          <w:color w:val="auto"/>
        </w:rPr>
        <w:t>We provide our employees with a full complement of employee benefits, including health and dental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short term and long-term disability insurance, life insurance, a 401(k) plan, FSA flex plan and Section 125 plan.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Long Term Incentive Plan for Executive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17, 2021, the Committee adopted and approved a 2021 Long Term Incentive Plan (the “LTIP”) to provide appropriate incentives to the Company’s executive officers over the critical three-year performance period consisting of fiscal years 2021, 2022 and 2023. Under the LTIP, the Company granted restricted stock units (“RSUs”) to the Company’s current CEO, J. Melville Engle, and its CFO, Bob Myers, pursuant to the Company’s Amended and Restated 2012 Stock Incentive Plan (as amended, the “Stock Incentive Plan”).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LTIP awards consist of 300,000 RSUs for the CEO and 150,000 RSUs for the CFO granted as of May 17, 2021. Each RSU award consists of three equal tranches, corresponding to the three years in the performance period. These RSUs will vest on January 1, 2024, with the level of vesting of each tranche based on (1) the level of achievement of performance goals for the corresponding fiscal year (see below) and (2) continued employment of the executive through January 1, 2024. For each tranche, the RSUs will vest at the 100% level for performance at the target level; 50% for performance at the threshold level (with no vesting below the threshold level); and 150% for maximum performance (in other words, for maximum performance on both performance components in a fiscal year, the payout for that year would be 150% of the number of RSUs in the corresponding tranche). The level of vesting for each component is prorated between the threshold level and the target level, and between the target level and the maximum level. To the extent vested, the awards will be paid out on or before March 15, 2024, following the determination of the Company’s earnings per share in 2023. To the extent vested, the awards will be paid out in shares of common stock.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Performance-based vesting of the RSUs in the tranche for each fiscal year (100,000 RSUs (target) per year for the CEO and 50,000 RSUs (target)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year for the CFO) will be based equally on two components of performance:</w:t>
      </w:r>
    </w:p>
    <w:p>
      <w:pPr>
        <w:spacing w:after="0" w:line="205" w:lineRule="exact"/>
        <w:rPr>
          <w:sz w:val="20"/>
          <w:szCs w:val="20"/>
          <w:color w:val="auto"/>
        </w:rPr>
      </w:pPr>
    </w:p>
    <w:p>
      <w:pPr>
        <w:ind w:left="1300" w:right="20" w:hanging="644"/>
        <w:spacing w:after="0" w:line="284" w:lineRule="auto"/>
        <w:tabs>
          <w:tab w:leader="none" w:pos="13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Price</w:t>
      </w:r>
      <w:r>
        <w:rPr>
          <w:rFonts w:ascii="Times New Roman" w:cs="Times New Roman" w:eastAsia="Times New Roman" w:hAnsi="Times New Roman"/>
          <w:sz w:val="18"/>
          <w:szCs w:val="18"/>
          <w:color w:val="auto"/>
        </w:rPr>
        <w:t>. A stock price component is based on the average closing share price of the Company’s common stock over the last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trading days of the fiscal year, as set forth in the LTIP.</w:t>
      </w:r>
    </w:p>
    <w:p>
      <w:pPr>
        <w:spacing w:after="0" w:line="158" w:lineRule="exact"/>
        <w:rPr>
          <w:rFonts w:ascii="Times New Roman" w:cs="Times New Roman" w:eastAsia="Times New Roman" w:hAnsi="Times New Roman"/>
          <w:sz w:val="18"/>
          <w:szCs w:val="18"/>
          <w:i w:val="1"/>
          <w:iCs w:val="1"/>
          <w:color w:val="auto"/>
        </w:rPr>
      </w:pPr>
    </w:p>
    <w:p>
      <w:pPr>
        <w:ind w:left="1300" w:hanging="644"/>
        <w:spacing w:after="0" w:line="284" w:lineRule="auto"/>
        <w:tabs>
          <w:tab w:leader="none" w:pos="130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Earnings (Loss) Per Share</w:t>
      </w:r>
      <w:r>
        <w:rPr>
          <w:rFonts w:ascii="Times New Roman" w:cs="Times New Roman" w:eastAsia="Times New Roman" w:hAnsi="Times New Roman"/>
          <w:sz w:val="18"/>
          <w:szCs w:val="18"/>
          <w:color w:val="auto"/>
        </w:rPr>
        <w:t>. An earnings component is based on the Company’s earnings (loss) per common share for that fiscal year,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the LTIP.</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Committee determines that circumstances have changed and modification is required to reflect the original intent of the performance goals, the Committee may in its discretion increase (but not decrease) the number of RSUs that vest for any of the covered years.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10, 2021, the stockholders approved an amendment to the Amended and Restated 2012 Stock Incentive Plan to increase the reserve of shares of common stock authorized for issuance thereunder by 1,500,000, to 3,250,000 shares. Therefore, all RSUs awarded under the LTIP will be paid in shares of common stock, rather than cash payments that might have been required had such plan amendment not been approved.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retirement, Mr. Engle entered into a Transition and Separation Agreement pursuant to which the vesting of 300,000 restricted stock units previously granted to Mr. Engle under the LTIP will be accelerated following termination of his employment, subject to him executing and delivering a general release of claims in favor of the Company. See “Employment Agreement and Transition and Separation Agreement with Current Chief Executive Officer”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Former Chief Executive Officer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 2019, we entered into an amended employment agreement with Dr. Schwartz that superseded an agreement dated November 10, 2017. The annualized base salary for Dr. Schwartz was $400,000 for both 2019 and 2018. Such base salary could be adjusted by us, but could not be reduced except in connection with a reduction imposed on substantially all employees as part of a general reduction.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23, 2020, the Compensation Committee of the Board of Directors of the Company approved the elements of a compensation program for the executive officers of the Company. The base salaries of the executive officers were increased by 15%, effective as of July 1, 2020, resulting in an annualized base salary of $460,000 for Dr. Schwartz. In addition, Dr. Schwartz was awarded a one-time, special interim grant of retention equity awards for 2020 on September 23, 2020 of 300,000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of Chief Executive Officer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19, 2021, Dr. Schwartz retired through his resignation as the Chief Executive Officer of the Company. In connection with the resignation, Dr. Schwartz and the Company simultaneously entered into a Transition and Separation Agreement pursuant to which, among other things, Dr. Schwartz agreed to retire from his employment and resign as a member of the Board and to provide certain transition services to the Company in exchange for the issuance to Dr. Schwartz of 100,000 shares of common stock. The Company and Dr. Schwartz also entered into an Agreement and Release pursuant to which, among other things, Dr. Schwartz and the Company released each other from any and all claims each may have against the other, and the Company agreed to provide Dr. Schwartz with certain separation benefits, including $460,000 (gross) in severance pay, equal to one year of his base salary, and the vesting of the 300,000 restricted stock units previously granted to Dr. Schwartz.</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and Transition and Separation Agreement with Current Chief Executive Officer</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5, 2021, the Company and J. Melville Engle, the Company’s current Chief Executive Officer, entered into an Employment Agreement (the “Agreement”) effective as of March 19, 2021, the first date of Mr. Engle’s employment. Pursuant to the Agreement, Mr. Engle is entitled to an annual base salary of $475,000. He will also be eligible (i) to receive an annual cash bonus equal to up to 50% of his salary, or at the discretion of the Compensation Committee (the “Committee”) of the Company’s Board of Directors, a higher percentage based on his performance and (ii) to participate in a long-term incentive plan to be adopted and maintained by the Committee. Under the current long-term incentive plan, Mr. Engle will receive 100,000 restricted shares of Company common stock or restricted stock units for each of the next three calendar years of his employment, vesting over three years and subject to continued employment, with the amount that vests to be based on his performance. Mr. Engle will also be eligible to participate in the standard employee benefit plans generally available to executive employees of the Company, and, at the discretion of the Committee, to receive grants of stock options or other equity awards. Any grants of equity awards, including those above, will be made from the Company’s Amended and Restated 2012 Stock Incentive Plan or successor plans.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Agreement, Mr. Engle’s employment by the Company is at-will. If his employment is terminated by the Company without “cause” or if he voluntarily resigns with “good reason” (in each case as defined in the Agreement), then Mr. Engle will be entitled to receive from the Company payment of his base salary then in effect through his last date of employment, plus accrued, unused vacation pay. In addition, Mr. Engle will be entitled to (a) severance pay in an amount equal to 12 months of his base salary then in effect, less applicable taxes and withholdings; and (b) a bonus payment on a pro-rata basis through the date of his termination.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Agreement also contains customary provisions with respect to confidentiality and intellectual property, in addition to ones prohibiting Mr. Engle from soliciting the Company’s employees and from engaging in certain activities that are competitive with the Company for a period of 12 months after termination of his employment.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15, 2022, Mr. Engle announced that he will retire as the Chief Executive Officer and as a member of the Board of Directors, effective October 31, 2022. To ensure an orderly transition of his responsibilities, the Company and Mr. Engle entered into a Transition and Separation Agreement (the “Transition Agreement”) pursuant to which Mr. Engle will continue to serve as Chief Executive Officer until October 31, 2022 under the terms of the Agreement, while the Company conducts a search for his replacement. The Transition Agreement provides for certain separation benefits to be paid to Mr. Engle following termination of his employment, subject to Mr. Engle executing and delivering a general release of claims in favor of the Company at such time, including $524,400 (gross) in severance pay, which amount is equal to one year of Mr. Engle’s base salary, a pro-rata bonus for 2022 in the amount of $139,000 (gross), and accelerated vesting of 300,000 restricted stock units previously granted to Mr. Engle as part of the Corporation’s 2021 Long-Term Incentive Plan.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Employment Agreement with Chief Financial Officer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13, 2012, we entered into an employment agreement with Bob Myers, who has served as Chief Financial Officer since July 1, 2012.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agreement the employment of Mr. Myers is at will.</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August 20, 2018, we entered into an amendment to employment agreement with Mr. Myers. Effective August 1, 2018, Mr. Myers received an annualized base salary of $250,000. Effective August 1, 2019, Mr. Myers received an annualized base salary of $300,000.</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23, 2020, the Compensation Committee of the Board of Directors of the Company approved the elements of a compensation program for the executive officers of the Company. The base salaries of the executive officers were increased by 15%, effective as of July 1, 2020, resulting in an annualized base salary of $345,000 for Mr. Myers. In addition, Mr. Myers was awarded a one-time, special interim grant of retention equity awards for 2020 on September 23, 2020 of 100,000 restricted stock units payable in shares of common stock,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 salaries for Mr. Myers may be adjusted by us but may not be reduced except in connection with a reduction imposed on substantially all employees as part of a general reduction. He will also each be eligible to receive an annual incentive bonus for each calendar year at the end of which he remains employed by us, subject to the attainment of certain objectives.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as a part of the compensation program approved in September 2020, Mr. Myers will be eligible for an annual bonus and a long-term incentive program effective January 1, 2021. Based on Company and personal performance vs. annual objectives to be established by the officers and the Committee and to be evaluated by the Committee, the officers will be granted an annual bonus opportunity ranging from 0% to 50% of base salary, or at the Board’s discretion, a higher percentage based on performance. Also, under the long-term incentive program, the officer will receive annual grants of restricted stock units on January 1 of each calendar year starting in 2021. Each grant will consist of 50,000 restricted stock units with vesting of each grant over three years based on performance and continued employment.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Myers is entitled to five (5) weeks of paid vacation per each calendar year earned ratably over each calendar year, to be taken at such times as employee and Company shall determine and provided that no vacation time shall unreasonably interfere with the duties required to be rendered by employee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terminate Mr. Myers’ employment without “cause” or if he terminates his employment for “good reason” (in each case as defined in the Agreement), he shall be entitled to receive us severance pay in an amount equal to twelve months of base salary, less applicable taxes and withholdings. In that event, he will receive a bonus payment on a pro-rata basis through the date of termination and any accrued, unused vacation pay. During Mr. Myers’ employment and for twelve months thereafter, regardless of the reason for the termination, he may not engage in a competing business, as defined in the agreement and will not solicit any person to leave employment with us or solicit our clients or prospective clients with whom he worked, solicited, marketed, or obtained confidential information about during his employment with us, regarding services or products that are competitive with any of our services or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Most of our stock option agreements provide for an acceleration of vesting in the event of a change in control as defined in the agreements and in the 2012 Stock Incentive Plan. However, the stock option agreements awarded to each of Messrs. Engle and Myers provide that upon the termination of such employee’s employment without cause or for good reason, such employee’s options shall become fully vested, and the vested shares may be purchased for up to five years after such termination (or such lesser period for the option if the remaining period of the option is less than five years after such termination). In addition, in the event of such employee’s retirement, death or disability, such employee’s options shall become fully vested, and the vested shares may be purchased for the entire remaining period of the option. Also, see “Employment Contracts” above for a description of certain severance compensation arrangements.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17, 2021 the Board adopted a Director Compensation Program under which the members of the Board of Directors receive quarterly awards of common stock and cash as compensation for their services as directors and annual awards of common stock and cash for services as committee members. These awards were implemented to replace the previous program of quarterly stock option grants to directors. The June 2020 annual common stock award remains in place as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program pays all of the compensation in the form of stock and cash awards (with the cash component payable in additional shares at the election of the director. The cash component is equal to 28% of the total value of the award (or 38.9% of the share component of the award), intended to pay the tax on the full award.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Each director receives a quarterly award of $8,333 on the last day of the quarter, consisting of (i) shares with a value of $6,000 and (ii) $2,333 in cash (or additional shares).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each board committee, each director receives an additional annual award of $11,112, consisting of (i) shares with a value of $8,000 and (ii) $3,112in cash (or additional shares), payable on December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Director compensation will continue to be paid to all members of the Board of Directors through December 31, 2021. Starting in 2022, director compensation will be limited to Non-Employee Directors (directors who are not employees of POAI or any subsidiary and who do not receive regular long-term cash compensation as consultants).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on June 16, 2020 the Board instituted an annual common stock award for all the directors under which they will receive $7,000 in value of newly issued shares of common stock, par value $0.01 per year annually for three years, as long as they are serving as a director at the annual appointment date. Additionally, the directors will receive a $3,000 cash payment per year annually for three years, as long as they are serving as a director at the annual appointment date.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April 3, 2020 the Board instituted an annual stock options award program for the Chairman of the Board under which he/she will be awarded options to purchase $20,000 worth of shares of common stock, par value $0.01 at an exercise price determined by the close on April 2 or the last trading day prior to April 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April 3, 2020, the Company maintained a quarterly and an annual stock options award program for all the directors under which they will be awarded options to purchase $5,000 worth of shares of common stock, par value $0.01 per quarter at an exercise price determined by the close on the last day of the quarter. Additionally, the directors that served on a committee received options to purchase $10,000 worth of shares of common stock, par value $0.01 annually, per committee served, at an exercise price determined by the close on the last day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each director who served during the fiscal year ended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Fees Paid or</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60" w:type="dxa"/>
            <w:vAlign w:val="bottom"/>
          </w:tcPr>
          <w:p>
            <w:pPr>
              <w:spacing w:after="0"/>
              <w:rPr>
                <w:sz w:val="18"/>
                <w:szCs w:val="18"/>
                <w:color w:val="auto"/>
              </w:rPr>
            </w:pPr>
          </w:p>
        </w:tc>
      </w:tr>
      <w:tr>
        <w:trPr>
          <w:trHeight w:val="238"/>
        </w:trPr>
        <w:tc>
          <w:tcPr>
            <w:tcW w:w="5460" w:type="dxa"/>
            <w:vAlign w:val="bottom"/>
          </w:tcPr>
          <w:p>
            <w:pPr>
              <w:spacing w:after="0"/>
              <w:rPr>
                <w:sz w:val="20"/>
                <w:szCs w:val="20"/>
                <w:color w:val="auto"/>
              </w:rPr>
            </w:pPr>
          </w:p>
        </w:tc>
        <w:tc>
          <w:tcPr>
            <w:tcW w:w="13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Earned in Cash</w:t>
            </w:r>
          </w:p>
        </w:tc>
        <w:tc>
          <w:tcPr>
            <w:tcW w:w="100" w:type="dxa"/>
            <w:vAlign w:val="bottom"/>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Stock Awards (1)</w:t>
            </w:r>
          </w:p>
        </w:tc>
        <w:tc>
          <w:tcPr>
            <w:tcW w:w="240" w:type="dxa"/>
            <w:vAlign w:val="bottom"/>
          </w:tcPr>
          <w:p>
            <w:pPr>
              <w:spacing w:after="0"/>
              <w:rPr>
                <w:sz w:val="20"/>
                <w:szCs w:val="20"/>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8"/>
        </w:trPr>
        <w:tc>
          <w:tcPr>
            <w:tcW w:w="5460" w:type="dxa"/>
            <w:vAlign w:val="bottom"/>
            <w:shd w:val="clear" w:color="auto" w:fill="CCEEFF"/>
          </w:tcPr>
          <w:p>
            <w:pPr>
              <w:spacing w:after="0" w:line="29" w:lineRule="exact"/>
              <w:rPr>
                <w:sz w:val="20"/>
                <w:szCs w:val="20"/>
                <w:color w:val="auto"/>
              </w:rPr>
            </w:pPr>
            <w:r>
              <w:rPr>
                <w:rFonts w:ascii="Times New Roman" w:cs="Times New Roman" w:eastAsia="Times New Roman" w:hAnsi="Times New Roman"/>
                <w:sz w:val="3"/>
                <w:szCs w:val="3"/>
                <w:color w:val="auto"/>
              </w:rPr>
              <w:t>J. Melville Engle</w:t>
            </w:r>
          </w:p>
        </w:tc>
        <w:tc>
          <w:tcPr>
            <w:tcW w:w="140" w:type="dxa"/>
            <w:vAlign w:val="bottom"/>
            <w:shd w:val="clear" w:color="auto" w:fill="000000"/>
          </w:tcPr>
          <w:p>
            <w:pPr>
              <w:jc w:val="right"/>
              <w:spacing w:after="0" w:line="29" w:lineRule="exact"/>
              <w:rPr>
                <w:sz w:val="20"/>
                <w:szCs w:val="20"/>
                <w:color w:val="auto"/>
              </w:rPr>
            </w:pPr>
            <w:r>
              <w:rPr>
                <w:rFonts w:ascii="Times New Roman" w:cs="Times New Roman" w:eastAsia="Times New Roman" w:hAnsi="Times New Roman"/>
                <w:sz w:val="3"/>
                <w:szCs w:val="3"/>
                <w:color w:val="auto"/>
              </w:rPr>
              <w:t>$</w:t>
            </w:r>
          </w:p>
        </w:tc>
        <w:tc>
          <w:tcPr>
            <w:tcW w:w="1200" w:type="dxa"/>
            <w:vAlign w:val="bottom"/>
            <w:shd w:val="clear" w:color="auto" w:fill="000000"/>
          </w:tcPr>
          <w:p>
            <w:pPr>
              <w:jc w:val="right"/>
              <w:ind w:right="53"/>
              <w:spacing w:after="0" w:line="29" w:lineRule="exact"/>
              <w:rPr>
                <w:sz w:val="20"/>
                <w:szCs w:val="20"/>
                <w:color w:val="auto"/>
              </w:rPr>
            </w:pPr>
            <w:r>
              <w:rPr>
                <w:rFonts w:ascii="Times New Roman" w:cs="Times New Roman" w:eastAsia="Times New Roman" w:hAnsi="Times New Roman"/>
                <w:sz w:val="3"/>
                <w:szCs w:val="3"/>
                <w:color w:val="auto"/>
              </w:rPr>
              <w:t>9,999</w:t>
            </w: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jc w:val="right"/>
              <w:ind w:right="267"/>
              <w:spacing w:after="0" w:line="29" w:lineRule="exact"/>
              <w:rPr>
                <w:sz w:val="20"/>
                <w:szCs w:val="20"/>
                <w:color w:val="auto"/>
              </w:rPr>
            </w:pPr>
            <w:r>
              <w:rPr>
                <w:rFonts w:ascii="Times New Roman" w:cs="Times New Roman" w:eastAsia="Times New Roman" w:hAnsi="Times New Roman"/>
                <w:sz w:val="3"/>
                <w:szCs w:val="3"/>
                <w:color w:val="auto"/>
              </w:rPr>
              <w:t>$</w:t>
            </w:r>
          </w:p>
        </w:tc>
        <w:tc>
          <w:tcPr>
            <w:tcW w:w="1040" w:type="dxa"/>
            <w:vAlign w:val="bottom"/>
            <w:shd w:val="clear" w:color="auto" w:fill="000000"/>
          </w:tcPr>
          <w:p>
            <w:pPr>
              <w:jc w:val="right"/>
              <w:ind w:right="166"/>
              <w:spacing w:after="0" w:line="29" w:lineRule="exact"/>
              <w:rPr>
                <w:sz w:val="20"/>
                <w:szCs w:val="20"/>
                <w:color w:val="auto"/>
              </w:rPr>
            </w:pPr>
            <w:r>
              <w:rPr>
                <w:rFonts w:ascii="Times New Roman" w:cs="Times New Roman" w:eastAsia="Times New Roman" w:hAnsi="Times New Roman"/>
                <w:sz w:val="3"/>
                <w:szCs w:val="3"/>
                <w:color w:val="auto"/>
              </w:rPr>
              <w:t>44,447</w:t>
            </w: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jc w:val="right"/>
              <w:ind w:right="143"/>
              <w:spacing w:after="0" w:line="29" w:lineRule="exact"/>
              <w:rPr>
                <w:sz w:val="20"/>
                <w:szCs w:val="20"/>
                <w:color w:val="auto"/>
              </w:rPr>
            </w:pPr>
            <w:r>
              <w:rPr>
                <w:rFonts w:ascii="Times New Roman" w:cs="Times New Roman" w:eastAsia="Times New Roman" w:hAnsi="Times New Roman"/>
                <w:sz w:val="3"/>
                <w:szCs w:val="3"/>
                <w:color w:val="auto"/>
              </w:rPr>
              <w:t>$</w:t>
            </w:r>
          </w:p>
        </w:tc>
        <w:tc>
          <w:tcPr>
            <w:tcW w:w="1100" w:type="dxa"/>
            <w:vAlign w:val="bottom"/>
            <w:shd w:val="clear" w:color="auto" w:fill="000000"/>
          </w:tcPr>
          <w:p>
            <w:pPr>
              <w:jc w:val="right"/>
              <w:ind w:right="69"/>
              <w:spacing w:after="0" w:line="29" w:lineRule="exact"/>
              <w:rPr>
                <w:sz w:val="20"/>
                <w:szCs w:val="20"/>
                <w:color w:val="auto"/>
              </w:rPr>
            </w:pPr>
            <w:r>
              <w:rPr>
                <w:rFonts w:ascii="Times New Roman" w:cs="Times New Roman" w:eastAsia="Times New Roman" w:hAnsi="Times New Roman"/>
                <w:sz w:val="3"/>
                <w:szCs w:val="3"/>
                <w:color w:val="auto"/>
              </w:rPr>
              <w:t>-</w:t>
            </w: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jc w:val="right"/>
              <w:ind w:right="163"/>
              <w:spacing w:after="0" w:line="29" w:lineRule="exact"/>
              <w:rPr>
                <w:sz w:val="20"/>
                <w:szCs w:val="20"/>
                <w:color w:val="auto"/>
              </w:rPr>
            </w:pPr>
            <w:r>
              <w:rPr>
                <w:rFonts w:ascii="Times New Roman" w:cs="Times New Roman" w:eastAsia="Times New Roman" w:hAnsi="Times New Roman"/>
                <w:sz w:val="3"/>
                <w:szCs w:val="3"/>
                <w:color w:val="auto"/>
              </w:rPr>
              <w:t>$</w:t>
            </w:r>
          </w:p>
        </w:tc>
        <w:tc>
          <w:tcPr>
            <w:tcW w:w="1060" w:type="dxa"/>
            <w:vAlign w:val="bottom"/>
            <w:shd w:val="clear" w:color="auto" w:fill="000000"/>
          </w:tcPr>
          <w:p>
            <w:pPr>
              <w:jc w:val="right"/>
              <w:ind w:right="53"/>
              <w:spacing w:after="0" w:line="29" w:lineRule="exact"/>
              <w:rPr>
                <w:sz w:val="20"/>
                <w:szCs w:val="20"/>
                <w:color w:val="auto"/>
              </w:rPr>
            </w:pPr>
            <w:r>
              <w:rPr>
                <w:rFonts w:ascii="Times New Roman" w:cs="Times New Roman" w:eastAsia="Times New Roman" w:hAnsi="Times New Roman"/>
                <w:sz w:val="3"/>
                <w:szCs w:val="3"/>
                <w:color w:val="auto"/>
              </w:rPr>
              <w:t>54,446</w:t>
            </w:r>
          </w:p>
        </w:tc>
      </w:tr>
      <w:tr>
        <w:trPr>
          <w:trHeight w:val="197"/>
        </w:trPr>
        <w:tc>
          <w:tcPr>
            <w:tcW w:w="5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
        </w:trPr>
        <w:tc>
          <w:tcPr>
            <w:tcW w:w="546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Charles Nuzum Sr.</w:t>
            </w:r>
          </w:p>
        </w:tc>
        <w:tc>
          <w:tcPr>
            <w:tcW w:w="140" w:type="dxa"/>
            <w:vAlign w:val="bottom"/>
          </w:tcPr>
          <w:p>
            <w:pPr>
              <w:spacing w:after="0" w:line="20" w:lineRule="exact"/>
              <w:rPr>
                <w:sz w:val="1"/>
                <w:szCs w:val="1"/>
                <w:color w:val="auto"/>
              </w:rPr>
            </w:pPr>
          </w:p>
        </w:tc>
        <w:tc>
          <w:tcPr>
            <w:tcW w:w="1200" w:type="dxa"/>
            <w:vAlign w:val="bottom"/>
          </w:tcPr>
          <w:p>
            <w:pPr>
              <w:jc w:val="right"/>
              <w:ind w:right="53"/>
              <w:spacing w:after="0" w:line="19"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jc w:val="right"/>
              <w:ind w:right="166"/>
              <w:spacing w:after="0" w:line="19" w:lineRule="exact"/>
              <w:rPr>
                <w:sz w:val="20"/>
                <w:szCs w:val="20"/>
                <w:color w:val="auto"/>
              </w:rPr>
            </w:pPr>
            <w:r>
              <w:rPr>
                <w:rFonts w:ascii="Times New Roman" w:cs="Times New Roman" w:eastAsia="Times New Roman" w:hAnsi="Times New Roman"/>
                <w:sz w:val="2"/>
                <w:szCs w:val="2"/>
                <w:color w:val="auto"/>
              </w:rPr>
              <w:t>76,668</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jc w:val="right"/>
              <w:ind w:right="69"/>
              <w:spacing w:after="0" w:line="19"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jc w:val="right"/>
              <w:ind w:right="53"/>
              <w:spacing w:after="0" w:line="19" w:lineRule="exact"/>
              <w:rPr>
                <w:sz w:val="20"/>
                <w:szCs w:val="20"/>
                <w:color w:val="auto"/>
              </w:rPr>
            </w:pPr>
            <w:r>
              <w:rPr>
                <w:rFonts w:ascii="Times New Roman" w:cs="Times New Roman" w:eastAsia="Times New Roman" w:hAnsi="Times New Roman"/>
                <w:sz w:val="2"/>
                <w:szCs w:val="2"/>
                <w:color w:val="auto"/>
              </w:rPr>
              <w:t>76,668</w:t>
            </w:r>
          </w:p>
        </w:tc>
      </w:tr>
      <w:tr>
        <w:trPr>
          <w:trHeight w:val="197"/>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
        </w:trPr>
        <w:tc>
          <w:tcPr>
            <w:tcW w:w="546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Daniel Handley</w:t>
            </w:r>
          </w:p>
        </w:tc>
        <w:tc>
          <w:tcPr>
            <w:tcW w:w="1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jc w:val="right"/>
              <w:ind w:right="53"/>
              <w:spacing w:after="0" w:line="19" w:lineRule="exact"/>
              <w:rPr>
                <w:sz w:val="20"/>
                <w:szCs w:val="20"/>
                <w:color w:val="auto"/>
              </w:rPr>
            </w:pPr>
            <w:r>
              <w:rPr>
                <w:rFonts w:ascii="Times New Roman" w:cs="Times New Roman" w:eastAsia="Times New Roman" w:hAnsi="Times New Roman"/>
                <w:sz w:val="2"/>
                <w:szCs w:val="2"/>
                <w:color w:val="auto"/>
              </w:rPr>
              <w:t>15,454</w:t>
            </w: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jc w:val="right"/>
              <w:ind w:right="166"/>
              <w:spacing w:after="0" w:line="19" w:lineRule="exact"/>
              <w:rPr>
                <w:sz w:val="20"/>
                <w:szCs w:val="20"/>
                <w:color w:val="auto"/>
              </w:rPr>
            </w:pPr>
            <w:r>
              <w:rPr>
                <w:rFonts w:ascii="Times New Roman" w:cs="Times New Roman" w:eastAsia="Times New Roman" w:hAnsi="Times New Roman"/>
                <w:sz w:val="2"/>
                <w:szCs w:val="2"/>
                <w:color w:val="auto"/>
              </w:rPr>
              <w:t>39,003</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jc w:val="right"/>
              <w:ind w:right="69"/>
              <w:spacing w:after="0" w:line="19"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jc w:val="right"/>
              <w:ind w:right="53"/>
              <w:spacing w:after="0" w:line="19" w:lineRule="exact"/>
              <w:rPr>
                <w:sz w:val="20"/>
                <w:szCs w:val="20"/>
                <w:color w:val="auto"/>
              </w:rPr>
            </w:pPr>
            <w:r>
              <w:rPr>
                <w:rFonts w:ascii="Times New Roman" w:cs="Times New Roman" w:eastAsia="Times New Roman" w:hAnsi="Times New Roman"/>
                <w:sz w:val="2"/>
                <w:szCs w:val="2"/>
                <w:color w:val="auto"/>
              </w:rPr>
              <w:t>54,457</w:t>
            </w:r>
          </w:p>
        </w:tc>
      </w:tr>
      <w:tr>
        <w:trPr>
          <w:trHeight w:val="197"/>
        </w:trPr>
        <w:tc>
          <w:tcPr>
            <w:tcW w:w="5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
        </w:trPr>
        <w:tc>
          <w:tcPr>
            <w:tcW w:w="5460" w:type="dxa"/>
            <w:vAlign w:val="bottom"/>
          </w:tcPr>
          <w:p>
            <w:pPr>
              <w:spacing w:after="0" w:line="19" w:lineRule="exact"/>
              <w:rPr>
                <w:sz w:val="20"/>
                <w:szCs w:val="20"/>
                <w:color w:val="auto"/>
              </w:rPr>
            </w:pPr>
            <w:r>
              <w:rPr>
                <w:rFonts w:ascii="Times New Roman" w:cs="Times New Roman" w:eastAsia="Times New Roman" w:hAnsi="Times New Roman"/>
                <w:sz w:val="2"/>
                <w:szCs w:val="2"/>
                <w:color w:val="auto"/>
              </w:rPr>
              <w:t>Greg St. Clair Sr.</w:t>
            </w:r>
          </w:p>
        </w:tc>
        <w:tc>
          <w:tcPr>
            <w:tcW w:w="140" w:type="dxa"/>
            <w:vAlign w:val="bottom"/>
          </w:tcPr>
          <w:p>
            <w:pPr>
              <w:spacing w:after="0" w:line="20" w:lineRule="exact"/>
              <w:rPr>
                <w:sz w:val="1"/>
                <w:szCs w:val="1"/>
                <w:color w:val="auto"/>
              </w:rPr>
            </w:pPr>
          </w:p>
        </w:tc>
        <w:tc>
          <w:tcPr>
            <w:tcW w:w="1200" w:type="dxa"/>
            <w:vAlign w:val="bottom"/>
          </w:tcPr>
          <w:p>
            <w:pPr>
              <w:jc w:val="right"/>
              <w:ind w:right="53"/>
              <w:spacing w:after="0" w:line="19" w:lineRule="exact"/>
              <w:rPr>
                <w:sz w:val="20"/>
                <w:szCs w:val="20"/>
                <w:color w:val="auto"/>
              </w:rPr>
            </w:pPr>
            <w:r>
              <w:rPr>
                <w:rFonts w:ascii="Times New Roman" w:cs="Times New Roman" w:eastAsia="Times New Roman" w:hAnsi="Times New Roman"/>
                <w:sz w:val="2"/>
                <w:szCs w:val="2"/>
                <w:color w:val="auto"/>
              </w:rPr>
              <w:t>8,455</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jc w:val="right"/>
              <w:ind w:right="166"/>
              <w:spacing w:after="0" w:line="19" w:lineRule="exact"/>
              <w:rPr>
                <w:sz w:val="20"/>
                <w:szCs w:val="20"/>
                <w:color w:val="auto"/>
              </w:rPr>
            </w:pPr>
            <w:r>
              <w:rPr>
                <w:rFonts w:ascii="Times New Roman" w:cs="Times New Roman" w:eastAsia="Times New Roman" w:hAnsi="Times New Roman"/>
                <w:sz w:val="2"/>
                <w:szCs w:val="2"/>
                <w:color w:val="auto"/>
              </w:rPr>
              <w:t>49,000</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jc w:val="right"/>
              <w:ind w:right="69"/>
              <w:spacing w:after="0" w:line="19"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jc w:val="right"/>
              <w:ind w:right="53"/>
              <w:spacing w:after="0" w:line="19" w:lineRule="exact"/>
              <w:rPr>
                <w:sz w:val="20"/>
                <w:szCs w:val="20"/>
                <w:color w:val="auto"/>
              </w:rPr>
            </w:pPr>
            <w:r>
              <w:rPr>
                <w:rFonts w:ascii="Times New Roman" w:cs="Times New Roman" w:eastAsia="Times New Roman" w:hAnsi="Times New Roman"/>
                <w:sz w:val="2"/>
                <w:szCs w:val="2"/>
                <w:color w:val="auto"/>
              </w:rPr>
              <w:t>57,455</w:t>
            </w:r>
          </w:p>
        </w:tc>
      </w:tr>
      <w:tr>
        <w:trPr>
          <w:trHeight w:val="197"/>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
        </w:trPr>
        <w:tc>
          <w:tcPr>
            <w:tcW w:w="5460" w:type="dxa"/>
            <w:vAlign w:val="bottom"/>
            <w:shd w:val="clear" w:color="auto" w:fill="CCEEFF"/>
          </w:tcPr>
          <w:p>
            <w:pPr>
              <w:spacing w:after="0" w:line="19" w:lineRule="exact"/>
              <w:rPr>
                <w:sz w:val="20"/>
                <w:szCs w:val="20"/>
                <w:color w:val="auto"/>
              </w:rPr>
            </w:pPr>
            <w:r>
              <w:rPr>
                <w:rFonts w:ascii="Times New Roman" w:cs="Times New Roman" w:eastAsia="Times New Roman" w:hAnsi="Times New Roman"/>
                <w:sz w:val="2"/>
                <w:szCs w:val="2"/>
                <w:color w:val="auto"/>
              </w:rPr>
              <w:t>Nancy Chung-Welch</w:t>
            </w:r>
          </w:p>
        </w:tc>
        <w:tc>
          <w:tcPr>
            <w:tcW w:w="14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jc w:val="right"/>
              <w:ind w:right="53"/>
              <w:spacing w:after="0" w:line="19" w:lineRule="exact"/>
              <w:rPr>
                <w:sz w:val="20"/>
                <w:szCs w:val="20"/>
                <w:color w:val="auto"/>
              </w:rPr>
            </w:pPr>
            <w:r>
              <w:rPr>
                <w:rFonts w:ascii="Times New Roman" w:cs="Times New Roman" w:eastAsia="Times New Roman" w:hAnsi="Times New Roman"/>
                <w:sz w:val="2"/>
                <w:szCs w:val="2"/>
                <w:color w:val="auto"/>
              </w:rPr>
              <w:t>24,668</w:t>
            </w: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jc w:val="right"/>
              <w:ind w:right="166"/>
              <w:spacing w:after="0" w:line="19" w:lineRule="exact"/>
              <w:rPr>
                <w:sz w:val="20"/>
                <w:szCs w:val="20"/>
                <w:color w:val="auto"/>
              </w:rPr>
            </w:pPr>
            <w:r>
              <w:rPr>
                <w:rFonts w:ascii="Times New Roman" w:cs="Times New Roman" w:eastAsia="Times New Roman" w:hAnsi="Times New Roman"/>
                <w:sz w:val="2"/>
                <w:szCs w:val="2"/>
                <w:color w:val="auto"/>
              </w:rPr>
              <w:t>55,003</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jc w:val="right"/>
              <w:ind w:right="69"/>
              <w:spacing w:after="0" w:line="19" w:lineRule="exact"/>
              <w:rPr>
                <w:sz w:val="20"/>
                <w:szCs w:val="20"/>
                <w:color w:val="auto"/>
              </w:rPr>
            </w:pPr>
            <w:r>
              <w:rPr>
                <w:rFonts w:ascii="Times New Roman" w:cs="Times New Roman" w:eastAsia="Times New Roman" w:hAnsi="Times New Roman"/>
                <w:sz w:val="2"/>
                <w:szCs w:val="2"/>
                <w:color w:val="auto"/>
              </w:rPr>
              <w:t>-</w:t>
            </w: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jc w:val="right"/>
              <w:ind w:right="53"/>
              <w:spacing w:after="0" w:line="19" w:lineRule="exact"/>
              <w:rPr>
                <w:sz w:val="20"/>
                <w:szCs w:val="20"/>
                <w:color w:val="auto"/>
              </w:rPr>
            </w:pPr>
            <w:r>
              <w:rPr>
                <w:rFonts w:ascii="Times New Roman" w:cs="Times New Roman" w:eastAsia="Times New Roman" w:hAnsi="Times New Roman"/>
                <w:sz w:val="2"/>
                <w:szCs w:val="2"/>
                <w:color w:val="auto"/>
              </w:rPr>
              <w:t>79,671</w:t>
            </w:r>
          </w:p>
        </w:tc>
      </w:tr>
      <w:tr>
        <w:trPr>
          <w:trHeight w:val="201"/>
        </w:trPr>
        <w:tc>
          <w:tcPr>
            <w:tcW w:w="5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Christina Jenkins</w:t>
            </w:r>
          </w:p>
        </w:tc>
        <w:tc>
          <w:tcPr>
            <w:tcW w:w="140" w:type="dxa"/>
            <w:vAlign w:val="bottom"/>
          </w:tcPr>
          <w:p>
            <w:pPr>
              <w:spacing w:after="0"/>
              <w:rPr>
                <w:sz w:val="18"/>
                <w:szCs w:val="18"/>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51,563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Vennare</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7,778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32,880</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Richard Gabriel</w:t>
            </w:r>
          </w:p>
        </w:tc>
        <w:tc>
          <w:tcPr>
            <w:tcW w:w="14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6,000</w:t>
            </w:r>
            <w:r>
              <w:rPr>
                <w:rFonts w:ascii="Times New Roman" w:cs="Times New Roman" w:eastAsia="Times New Roman" w:hAnsi="Times New Roman"/>
                <w:sz w:val="14"/>
                <w:szCs w:val="14"/>
                <w:color w:val="auto"/>
              </w:rPr>
              <w:t>(9)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6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8,333</w:t>
            </w:r>
          </w:p>
        </w:tc>
      </w:tr>
    </w:tbl>
    <w:p>
      <w:pPr>
        <w:spacing w:after="0" w:line="17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the actual compensation cost granted during 2021 as determined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19,395 shares of common stock received in 2021 for serving on the Board and 20,428 shares of common stock received on January 4, 2022 for 2021 service on the Board and the Merger &amp; Acquisition Committee.</w:t>
      </w:r>
    </w:p>
    <w:p>
      <w:pPr>
        <w:ind w:left="340" w:right="2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27,147 shares of common stock received in 2021 for serving on the Board and 43,775 shares of common stock received on January 4, 2022 for 2021 service on the Board and the Audit, Compensation and Governance Committees.</w:t>
      </w:r>
    </w:p>
    <w:p>
      <w:pPr>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19,395 shares of common stock received in 2021 for serving on the Board and 14,709 shares of common stock and $5,455 in cash received on January 4, 2022 for 2021 service on the Board and the Governance Committee.</w:t>
      </w:r>
    </w:p>
    <w:p>
      <w:pPr>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27,147 shares of common stock received in 2021 for serving on the Board and 14,709 shares of common stock and $5,455 in cash received on January 4, 2022 for 2021 service on the Board and the Audit Committee.</w:t>
      </w:r>
    </w:p>
    <w:p>
      <w:pPr>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19,395 shares of common stock received in 2021 for serving on the Board and 31,517 shares of common stock and $11,669 in cash received on January 4, 2022 for 2021 service on the Board and the Audit, Compensation and Merger &amp; Acquisition Committees.</w:t>
      </w:r>
    </w:p>
    <w:p>
      <w:pPr>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19,436 shares of common stock received in 2021 for serving on the Board and 14,709 shares of common stock and $5,445 in cash received on January 4, 2022 for 2021 service on the Board and the Merger &amp; Acquisition Committee.</w:t>
      </w:r>
    </w:p>
    <w:p>
      <w:pPr>
        <w:ind w:left="340" w:hanging="332"/>
        <w:spacing w:after="0" w:line="25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9,512 shares of common stock received in 2021 for serving on the Board and 14,709 shares of common stock and $5,445 in cash received on January 4, 2022 for 2021 service on the Board and the Governance Committee.</w:t>
      </w: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Gabriel resigned from the Board effective May 1, 2021. Mr. Gabriel was awarded 4,959 shares of common stock for serving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PROPOSAL NO. 2: RATIFICATION OF SELECTION OF INDEPENDENT AUDITORS</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has selected Baker Tilly Virchow Krause, LLP (“Baker Tilly”) as Predictive’s independent auditors for the fiscal year ending December 31, 2022 and has further directed that management submit the selection of independent auditors for ratification by the stockholders at the Annual Meeting. Representatives of Baker Tilly are expected to be present at the Annual Meeting. They will have an opportunity to make a statement if they so desire and will be available to respond to appropriate questions.</w:t>
      </w:r>
    </w:p>
    <w:p>
      <w:pPr>
        <w:spacing w:after="0" w:line="180" w:lineRule="exact"/>
        <w:rPr>
          <w:sz w:val="20"/>
          <w:szCs w:val="20"/>
          <w:color w:val="auto"/>
        </w:rPr>
      </w:pPr>
    </w:p>
    <w:p>
      <w:pPr>
        <w:jc w:val="both"/>
        <w:ind w:right="80" w:firstLine="648"/>
        <w:spacing w:after="0" w:line="256" w:lineRule="auto"/>
        <w:rPr>
          <w:sz w:val="20"/>
          <w:szCs w:val="20"/>
          <w:color w:val="auto"/>
        </w:rPr>
      </w:pPr>
      <w:r>
        <w:rPr>
          <w:rFonts w:ascii="Times New Roman" w:cs="Times New Roman" w:eastAsia="Times New Roman" w:hAnsi="Times New Roman"/>
          <w:sz w:val="18"/>
          <w:szCs w:val="18"/>
          <w:color w:val="auto"/>
        </w:rPr>
        <w:t>Neither the Company’s Second Amended and Restated Bylaws nor other governing documents or law require stockholder ratification of the selection of Baker Tilly as Predictive’s independent auditors. However, the Audit Committee of the Board is submitting the selection of Baker Tilly to the stockholders for ratification as a matter of good corporate practice. If the stockholders fail to ratify the selection, the Audit Committee of the Board will reconsider whether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the majority of all shares present and entitled to vote on the matter, either in person or by proxy, will be required to ratify the selection of Baker Tilly. Abstentions will be counted toward the tabulation of votes cast on proposals presented to the stockholders and will have the same effect as negative votes. There will be no broker non-votes.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audit of the fiscal 2021 and 2020 financial statements, Predictive entered into an engagement agreement with Baker Tilly, which sets forth the terms by which Baker Tilly will perform audit services for Predictive.</w:t>
      </w:r>
    </w:p>
    <w:p>
      <w:pPr>
        <w:spacing w:after="0" w:line="162"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 ended December 31, 2020 and December 31, 2021. All fees described below were approved by the Audit Committee.</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4820" w:type="dxa"/>
            <w:vAlign w:val="bottom"/>
            <w:tcBorders>
              <w:bottom w:val="single" w:sz="8" w:color="CCEEFF"/>
            </w:tcBorders>
          </w:tcPr>
          <w:p>
            <w:pPr>
              <w:spacing w:after="0"/>
              <w:rPr>
                <w:sz w:val="20"/>
                <w:szCs w:val="20"/>
                <w:color w:val="auto"/>
              </w:rPr>
            </w:pPr>
          </w:p>
        </w:tc>
        <w:tc>
          <w:tcPr>
            <w:tcW w:w="31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396,246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306,235</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27,461</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(3)</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22,250</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(4)</w:t>
            </w: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99,537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37,415</w:t>
            </w:r>
          </w:p>
        </w:tc>
      </w:tr>
      <w:tr>
        <w:trPr>
          <w:trHeight w:val="216"/>
        </w:trPr>
        <w:tc>
          <w:tcPr>
            <w:tcW w:w="482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524,048</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393,361</w:t>
            </w:r>
          </w:p>
        </w:tc>
      </w:tr>
    </w:tbl>
    <w:p>
      <w:pPr>
        <w:spacing w:after="0" w:line="198" w:lineRule="exact"/>
        <w:rPr>
          <w:sz w:val="20"/>
          <w:szCs w:val="20"/>
          <w:color w:val="auto"/>
        </w:rPr>
      </w:pPr>
    </w:p>
    <w:p>
      <w:pPr>
        <w:ind w:left="980" w:right="20" w:hanging="324"/>
        <w:spacing w:after="0" w:line="257"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principally for services rendered for the audit and/or review of Predictive’s consolidated financial statements. Also, includes fees for services rendered in connection with the filing of registration statements and other documents with the SEC, the issuance of accountant consents and comfort letters.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were not incurred in 2021, and in 2020, consisted of fees related to providing predecessor auditor with required representations related to registration statements filed in 2020.</w:t>
      </w:r>
    </w:p>
    <w:p>
      <w:pPr>
        <w:ind w:left="980" w:hanging="324"/>
        <w:spacing w:after="0" w:line="25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in the indicated year for professional services performed by Baker Tilly US, LLP with respect to tax compliance during 2021.</w:t>
      </w:r>
    </w:p>
    <w:p>
      <w:pPr>
        <w:jc w:val="both"/>
        <w:ind w:left="980" w:hanging="324"/>
        <w:spacing w:after="0" w:line="253"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Fees in 2021 consisted of fees for auditing zPREDICTA for 2020 and 2019, and for reviewing zPREDICTA for the three and nine months ended September 30, 2020 and September 30, 2021 related to the acquisition of zPREDICTA by the Company. In 2020, other fees related to consulting services performed by Baker Tilly US, LLP were provided prior to Baker Tilly US, LLP’s engagement as the Company’s independent registered public accounting firm. All services were provided prior to April 1, 2020 and were related to the audit closing process for the year ended December 31, 2019, as further described in the Company’s Form 8-K filing on April 30, 2020.</w:t>
      </w:r>
    </w:p>
    <w:p>
      <w:pPr>
        <w:spacing w:after="0" w:line="200" w:lineRule="exact"/>
        <w:rPr>
          <w:sz w:val="20"/>
          <w:szCs w:val="20"/>
          <w:color w:val="auto"/>
        </w:rPr>
      </w:pPr>
    </w:p>
    <w:p>
      <w:pPr>
        <w:spacing w:after="0" w:line="30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320"/>
          </w:cols>
          <w:pgMar w:left="320" w:top="792" w:right="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is required to pre-approve the audit and non-audit services performed by Predictive’s independent auditors. The Audit Committee may not approve non-audit services prohibited by applicable regulations of the SEC if such services are to be provided contemporaneously while serving as independent auditors. The Audit Committee has delegated authority to the Chairman of the Audit Committee to approve the commencement of permissible non-audit related services to be performed by the independent auditors and the fees payable for such services, provided that the full Audit Committee subsequently ratifies and approves all such services. The Audit Committee has determined that the rendering of the services other than audit services by Baker Tilly is compatible with maintaining the principal accountant’s independence.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Independent Registered Public Accounting Firm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24, 2020, the Company dismissed Deloitte as the Company’s independent registered public accounting firm in connection with auditing the Company’s financial statements commencing fiscal year 2020. On April 24, 2020, the Audit Committee formally approved the engagement of Baker Tilly as the Company’s independent registered public accounting firm for the fiscal year ending December 31, 2020.</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reports of Deloitte on the Company’s audited consolidated financial statements for the two most recent fiscal years ended December 31, 2019 and 2018 (the “Deloitte Reports”) did not contain an adverse opinion or a disclaimer of opinion, nor were they qualified or modified as to uncertainty, audit scope, or accounting principles. The Deloitte Reports did, however, include an explanatory paragraph related to the substantial doubt about the Company’s ability to continue as a going concern. During the Company’s two most recent fiscal years ended December 31, 2019 and 2018, and during the subsequent interim period preceding Deloitte’s dismissal, there were no disagreements with Deloitte on any matter of accounting principles or practices, financial statement disclosures, or auditing scope or procedures, which disagreements, if not resolved to the satisfaction of Deloitte would have caused Deloitte to make reference to the subject matter of the disagreements in connection with the Deloitte Reports.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disclosed in the Company’s Form 10-K for the year ended December 31, 2019 filed with the SEC on April 1, 2020 (the “2019 10-K”), in connection with its evaluation of the effectiveness of its internal control over financial reporting (as defined in Rule 13a-15(f) under the Securities Exchange Act of 1934) as of December 31, 2019, the Company concluded that its internal control over financial reporting was not effective as of December 31, 2019 due to a material weakness. Management determined that the Company has not maintained adequate accounting resources with a sufficient understanding of U.S. GAAP to allow the Company to properly identify and account for new complex transactions. The Company’s activities to remediate this material weakness are disclosed in the 2019 10-K. Deloitte discussed this material weakness with the Audit Committee of the Board of Directors of the Company. The Company authorized Deloitte to respond fully to the inquiries by the successor independent registered public accounting firm concerning this material weakness.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provided Deloitte with a copy of its Current Report on Form 8-K filed with the SEC on April 30, 2020 and disclosing Deloitte’s dismissal prior to its filing and requested that Deloitte furnish the Company with a letter addressed to the SEC stating whether Deloitte agrees with the above statements. A copy of the letter from Deloitte dated April 30, 2020 is filed with the Current Report as Exhibit 16.1.</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PREDICTIVE BOARD RECOMMENDS THAT YOU VOTE “FOR” THE RATIFICATION OF BAKER TILLY AS THE COMPANY’S INDEPENDENT REGISTERED PUBLIC ACCOUNTING FIRM.</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VOTE TO INCREASE RESERVE OF SHARES UNDER STOCK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Company’s Amended and Restated 2012 Stock Incentive Plan (as amended, the “2012 Plan”) was approved by the Company’s stockholders in September 2012. The stockholders have approved several increases in the share reserve under the 2012 Plan. Most recently, on August 10, 2021, the stockholders approved an amendment to the Amended and Restated 2012 Plan to increase the reserve of shares of common stock authorized for issuance thereunder to 3,250,000. Currently, 458,000 shares of common stock are reserved pursuant to outstanding awards under the 2012 Plan, and 1,042,194 shares are available for further awards under the 2012 Plan.</w:t>
      </w:r>
    </w:p>
    <w:p>
      <w:pPr>
        <w:spacing w:after="0" w:line="183"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Company’s Board has approved a proposal to amend the 2012 Plan to increase the share reserve by 2,500,000 shares, to 5,750,000 shares (the “Amendment”). The Board believes that approval of Proposal No. 3 is in the best interests of the Company and its stockholders because the availability of an adequate number of shares reserved for issuance under the 2012 Plan is an important factor in attracting, retaining, and motivating employees, consultants and directors in order to achieve the Company’s long-term growth and profitability objectives. The Board has carefully considered the proposed increase in the share reserve and believes that this increase will be sufficient to permit the Company to attract, retain and motivate employees, consultants and directors. The Company currently has only two executive officers and will require additional executive and operating officers in order to effect its business plans that will drive future stockholder value. This factor, in turn will require significant equity compensation in order to attract and motivate these new officers.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be approved, Proposal 3 must receive a “For” vote from the majority of all shares present and entitled to vote on the matter, either in person or by proxy. An abstention will have the same effect as an “Against” vote. Broker non-votes will have no effect.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Below is a summary of the 2012 Plan, which is qualified entirely by reference to the complete text of the 2012 Plan, a copy of which reflecting the Amendment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2012 Plan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purpose of the 2012 Plan is to increase stockholder value and to advance the Company’s interests by furnishing a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incentives (“Incentives”) designed to attract, retain and motivate employees, certain key consultants and directors. Incentives may be granted to employees (including officers) of the Company or its subsidiaries, members of the board, and consultants or other independent contractors who provide services to the Company or its subsidiaries, in the following forms: (a) non-statutory stock options and incentive stock options; (b) stock appreciation rights (“SARs”); (c) stock awards; (d) restricted stock; (e) restricted stock units (“RSUs”); and (f) performance awards.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Shares Subject to 2012 Plan. </w:t>
      </w:r>
      <w:r>
        <w:rPr>
          <w:rFonts w:ascii="Times New Roman" w:cs="Times New Roman" w:eastAsia="Times New Roman" w:hAnsi="Times New Roman"/>
          <w:sz w:val="18"/>
          <w:szCs w:val="18"/>
          <w:color w:val="auto"/>
        </w:rPr>
        <w:t>Subject to adjustment, the number of shares of common stock which may be issued under the 2012 Plan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is adopted shall not exceed 5,750,000 shares. In addition, 5,662 shares that were available in the reserve of the Company’s prior stock incentive plan (the “2008 Plan”) at the time the 2012 Plan was adopted were added to the 2012 Plan share reserve. If an Incentive granted under the 2012 Plan expires or is terminated or canceled unexercised as to any shares of common stock or forfeited or reacquired by the Company pursuant to rights reserved upon issuance thereof, such forfeited and reacquired shares may again be issued under the 2012 Plan pursuant to another Incentive.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2012 Plan is administered by the compensation committee, or if no committee is designated, the Board. Notwithstanding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foregoing or anything else to the contrary contained in the Plan, the Company’s Chief Executive Officer or Chief Financial Officer may, on a discretionary basis and without the Committee’s review or approval, grant Stock Options to purchase up to 25,000 shares each to employees of the Company who are not officers of the Company. Such discretionary Stock Option grants shall not exceed 100,000 shares in total in any fiscal year. Subject to the foregoing limitations, the Chief Executive Officer or Chief Financial Officer shall determine from time to time (i) the employees to whom grants will be made, (ii) the number of shares to be granted and (iii) the terms and provisions of each Stock Option (which need not be identical).</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Incentives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The compensation committee may grant non-qualified and incentive stock options to eligible employees to purchase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 2012 Plan confers on the compensation committee discretion, with respect to any such stock option, to determine the term of each option, the time or times during its term when the option becomes exercisable and the number and purchase price of the shares subject to the option. However, the option price per share may not be less than the fair market value of the common stock on the grant date, and the term of each option shall not exceed ten years and one day from the grant date. With respect to stock options which are intended to qualify as “incentive stock options” (as defined in Section 422 of the Internal Revenue Code), the aggregate fair market value of the shares with respect to which incentive stock options are exercisable for the first time cannot exceed $100,000. All incentive stock options must be granted within ten years from the earlier of the date of the 2012 Plan’s adoption by the board or approval by our stockholders.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w:t>
      </w:r>
      <w:r>
        <w:rPr>
          <w:rFonts w:ascii="Times New Roman" w:cs="Times New Roman" w:eastAsia="Times New Roman" w:hAnsi="Times New Roman"/>
          <w:sz w:val="18"/>
          <w:szCs w:val="18"/>
          <w:color w:val="auto"/>
        </w:rPr>
        <w:t>A stock appreciation right or “SAR” is a right to receive, without payment to the Company, a number of shares,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combination thereof, the amount of which is equal to the aggregate amount of the appreciation in the shares of common stock as to which the SAR is exercised. The compensation committee has the discretion to determine the number of shares as to which a SAR will relate as well as the duration and exercisability of a SAR. The exercise price may not be less than the fair market value of the common stock on the grant date.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18"/>
          <w:szCs w:val="18"/>
          <w:color w:val="auto"/>
        </w:rPr>
        <w:t>. Stock awards consist of the transfer by the Company to an eligible participant of shares of common stock, with or without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as additional compensation for services to the Company. The number of shares transferred pursuant to any stock award is determined by the compensation committee.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Restricted stock consists of the sale or transfer by the Company to an eligible participant of one or more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are subject to restrictions on their sale or other transfer by the employee which restrictions will lapse after a period of time as determined by the compensation committee. If restricted stock is sold to a participant, the sale price will be determined by the compensation committee, and the price may vary from time to time and among participants and may be less than the fair market value of the shares at the date of sale. Subject to these restrictions and the other requirements of the 2012 Plan, a participant receiving restricted stock shall have all of the rights of a stockholder as to those shares.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RSUs. </w:t>
      </w:r>
      <w:r>
        <w:rPr>
          <w:rFonts w:ascii="Times New Roman" w:cs="Times New Roman" w:eastAsia="Times New Roman" w:hAnsi="Times New Roman"/>
          <w:sz w:val="18"/>
          <w:szCs w:val="18"/>
          <w:color w:val="auto"/>
        </w:rPr>
        <w:t>Restricted stock units represent the right to receive one share of common stock at a future date that has been granted subject to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including a risk of forfeiture, established by the compensation committee. Dividend equivalents may be granted with respect to any amount of RSUs and either paid at the dividend payment date in cash or in shares of unrestricted stock having a fair market value equal to the amount of such dividends, or deferred with respect to such RSUs and the amount or value thereof automatically deemed reinvested in additional RSUs until the time for delivery of shares pursuant to the terms of the restricted stock unit award. RSUs may be satisfied by delivery of shares of stock, cash equal to the fair market value of the specified number of shares covered by the RSUs, or a combination thereof, as determined by the compensation committee at the date of grant or thereafter.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A performance award is a right to either a number of shares of common stock, their cash equivalent, or a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based on satisfaction of performance goals for a particular period. The right of a participant to exercise or receive a grant or settlement of any Incentive, and the timing thereof, may be subject to such performance conditions as may be specified by the compensation committee (such an Incentive is referred to as a “Performance Award”). The compensation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Transferability of Incentives. </w:t>
      </w:r>
      <w:r>
        <w:rPr>
          <w:rFonts w:ascii="Times New Roman" w:cs="Times New Roman" w:eastAsia="Times New Roman" w:hAnsi="Times New Roman"/>
          <w:sz w:val="18"/>
          <w:szCs w:val="18"/>
          <w:color w:val="auto"/>
        </w:rPr>
        <w:t>Incentives granted under the 2012 Plan may not be transferred, pledged or assigned by the holder thereof except,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the holder’s death, by will or the laws of descent and distribution or pursuant to a qualified domestic relations order. However, non-qualified stock options may be transferred by the holder thereof to certain family members or related entities.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Duration, Termination and Amendment of the Incentive Plan and Incentives. </w:t>
      </w:r>
      <w:r>
        <w:rPr>
          <w:rFonts w:ascii="Times New Roman" w:cs="Times New Roman" w:eastAsia="Times New Roman" w:hAnsi="Times New Roman"/>
          <w:sz w:val="18"/>
          <w:szCs w:val="18"/>
          <w:color w:val="auto"/>
        </w:rPr>
        <w:t>The 2012 Plan will remain in effect until all Incentives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2012 Plan have been satisfied or terminated and all restrictions on shares issued under the 2012 Plan have lapsed.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Plan shall terminate no later than ten (10) years from the date of the later of (x) the Effective Date and (y) the date an increase in the number of shares reserved for issuance under the Plan is approved by the Board (so long as such increase is also approved by the shareholders. The Board of Directors may amend or discontinue the 2012 Plan at any time. However, no such amendment or discontinuance may adversely change or impair a previously granted Incentive without the consent of the recipient thereof. Certain 2012 Plan amendments require stockholder approval, including amendments which would increase the maximum number of shares of common stock which may be issued to all participants under the 2012 Plan, change the class of persons eligible to receive Incentives under the 2012 Plan, or materially increase the benefits accruing to participants under the 2012 Plan. Generally, the terms of an existing Incentive may be amended by agreement between the compensation committee and the participant. However, in the case of a stock option or SAR, no such amendment shall (a) without stockholder approval, lower the exercise price of a previously granted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with certain exceptions.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Change in Control; Effect of Sale, Merger, Exchange or Liquidation. </w:t>
      </w:r>
      <w:r>
        <w:rPr>
          <w:rFonts w:ascii="Times New Roman" w:cs="Times New Roman" w:eastAsia="Times New Roman" w:hAnsi="Times New Roman"/>
          <w:sz w:val="18"/>
          <w:szCs w:val="18"/>
          <w:color w:val="auto"/>
        </w:rPr>
        <w:t>Upon the occurrence of an event satisfying the definition of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respect to a particular Incentive, unless otherwise provided in the agreement for the Incentive, such Incentive shall become vested and all restrictions shall lapse. The compensation committee may, in its discretion, include such further provisions and limitations in any agreement for an Incentive as it may deem desirable. Unless otherwise provided in the agreement for an Incentive, in the event of an acquisition of the Company through the sale of substantially all of the Company’s assets or through a merger, exchange, reorganization or liquidation or a similar event, the compensation committee has broad discretion to take any and all action it deems equitable under the circumstances, including but not limited to terminating the 2012 Plan and all Incentives and issuing to the holders of outstanding vested options and SARs the stock, securities or assets they would have received if the Incentives had been exercised immediately before the transaction, or other specified actions.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2012 Plan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and timing of all awards under the 2012 Plan are determined in the sole discretion of the compensation committee (or if no committee is designated, the board) and therefore cannot be determined in advance. The following table sets forth the restricted stock/restricted stock units and stock options that have been granted under the 2012 Plan to the following persons and that are outstanding: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620" w:type="dxa"/>
            <w:vAlign w:val="bottom"/>
          </w:tcPr>
          <w:p>
            <w:pPr>
              <w:spacing w:after="0"/>
              <w:rPr>
                <w:sz w:val="18"/>
                <w:szCs w:val="18"/>
                <w:color w:val="auto"/>
              </w:rPr>
            </w:pPr>
          </w:p>
        </w:tc>
        <w:tc>
          <w:tcPr>
            <w:tcW w:w="33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6620" w:type="dxa"/>
            <w:vAlign w:val="bottom"/>
          </w:tcPr>
          <w:p>
            <w:pPr>
              <w:spacing w:after="0"/>
              <w:rPr>
                <w:sz w:val="18"/>
                <w:szCs w:val="18"/>
                <w:color w:val="auto"/>
              </w:rPr>
            </w:pPr>
          </w:p>
        </w:tc>
        <w:tc>
          <w:tcPr>
            <w:tcW w:w="33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of Restricted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r>
      <w:tr>
        <w:trPr>
          <w:trHeight w:val="238"/>
        </w:trPr>
        <w:tc>
          <w:tcPr>
            <w:tcW w:w="66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33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8"/>
              </w:rPr>
              <w:t>Stock/RSUs</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Melville Engle, CEO</w:t>
            </w:r>
          </w:p>
        </w:tc>
        <w:tc>
          <w:tcPr>
            <w:tcW w:w="3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300,000(1)</w:t>
            </w:r>
          </w:p>
        </w:tc>
        <w:tc>
          <w:tcPr>
            <w:tcW w:w="12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Bob Myers, CFO</w:t>
            </w:r>
          </w:p>
        </w:tc>
        <w:tc>
          <w:tcPr>
            <w:tcW w:w="3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158,000(1)</w:t>
            </w:r>
          </w:p>
        </w:tc>
        <w:tc>
          <w:tcPr>
            <w:tcW w:w="12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Group</w:t>
            </w:r>
          </w:p>
        </w:tc>
        <w:tc>
          <w:tcPr>
            <w:tcW w:w="3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Director Group</w:t>
            </w:r>
          </w:p>
        </w:tc>
        <w:tc>
          <w:tcPr>
            <w:tcW w:w="3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Officer Employee Group</w:t>
            </w:r>
          </w:p>
        </w:tc>
        <w:tc>
          <w:tcPr>
            <w:tcW w:w="3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340" w:right="30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Long-Term Incentive Plan awards described earlier in this proxy statement under the heading “Executive Compensation - Long Term Incentive Plan for Executive Officers.” The number of RSUs represents the maximum number of shares issuable under such awards if performance objectives are achieved at the maximum level, which corresponds to 150% of the “target” grant amount.</w:t>
      </w:r>
    </w:p>
    <w:p>
      <w:pPr>
        <w:spacing w:after="0" w:line="3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PROPOSAL TO APPROVE THE AMENDMENT TO THE AMENDED AND RESTATED 2012 STOCK INCENTIVE PLAN TO INCREASE THE RESERVE OF SHARES OF COMMON STOCK AUTHORIZED FOR ISSUANCE THEREUNDER BY 2,500,000 SHARES, TO 5,750,000 SHARES.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 ADVISORY VOTE ON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“Dodd-Frank Act”), we are providing our stockholders an opportunity to cast a separate advisory vote on the compensation paid to our executive officers as disclosed in this proxy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designed its executive compensation program to attract, motivate, reward and retain the senior management talent required to achieve our corporate objectives and to increase long-term stockholder value. Substantially all of the Company’s executive compensation during the last several years had been paid pursuant to employment agreements. See “Executive Compensation” above.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advisory vote, commonly known as a “say-on-pay” proposal, gives you as a stockholder the opportunity to vote on the compensation of our executive officers through the following resolution:</w:t>
      </w:r>
    </w:p>
    <w:p>
      <w:pPr>
        <w:spacing w:after="0" w:line="162" w:lineRule="exact"/>
        <w:rPr>
          <w:sz w:val="20"/>
          <w:szCs w:val="20"/>
          <w:color w:val="auto"/>
        </w:rPr>
      </w:pPr>
    </w:p>
    <w:p>
      <w:pPr>
        <w:ind w:left="1300" w:right="660"/>
        <w:spacing w:after="0" w:line="282" w:lineRule="auto"/>
        <w:rPr>
          <w:sz w:val="20"/>
          <w:szCs w:val="20"/>
          <w:color w:val="auto"/>
        </w:rPr>
      </w:pPr>
      <w:r>
        <w:rPr>
          <w:rFonts w:ascii="Times New Roman" w:cs="Times New Roman" w:eastAsia="Times New Roman" w:hAnsi="Times New Roman"/>
          <w:sz w:val="18"/>
          <w:szCs w:val="18"/>
          <w:color w:val="auto"/>
        </w:rPr>
        <w:t>“RESOLVED, that the stockholders of Predictive Oncology Inc., approve the compensation of its executive officers as described in the proxy statement for its 2022 Annual Meeting.”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Dodd-Frank Act, your vote on this matter is advisory and will therefore not be binding upon the Board of Directors. However, the Compensation Committee of the Board will take the outcome of the vote into account when determining further executive compensation arrangements.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APPROVAL OF THE EXECUTIVE COMPENSATION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5: VOTE ON NON-BINDING ADVISORY RESOLUTION REGARDING FREQUENCY OF STOCKHOLDER VOTES ON EXECUTIVE COMPENSATION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Dodd Frank Act and Section 14A of the Exchange Act, at least every six years our shareholders are entitled to cast an advisory vote to indicate the frequency with which we should hold future non-binding votes to approve executive compensation, or to abstain from voting. Our shareholders last voted on such a resolution in 2016, with the majority voting for a frequency of every three years.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once again requesting your non-binding vote to determine whether the frequency of the vote to approve the compensation of our named executive officers should be every year, every two years or every three years. The Board of Directors and the Compensation Committee believe that your input will allow the Compensation Committee, management, and our shareholders to continue to engage in a timely, open and meaningful dialogue regarding our executive compensation philosophy, policies and practices.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the Board of Directors intends to carefully consider the shareholder vote resulting from the proposal, the final vote will not be binding on us and is advisory in nature.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a three-year vote cycle will balance the interest of shareholders in providing regular input on executive compensation and the interests of the Board of Directors and shareholders in allowing sufficient time to evaluate the long-term effectiveness of the Company’s executive compensation philosophy, policies and practices.</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VOTE TO HOLD AN ADVISORY VOTE ON THE OVERALL COMPENSATION OF THE COMPANY’S EXECUTIVE OFFICERS EVERY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6: VOTE ON PROPOSAL TO ADJOURN THE MEETING IF NECESSARY TO SOLICIT ADDITIONAL PROXIES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asking you to vote to approve one or more adjournments of the Annual Meeting to a later date or dates if necessary or appropriate to solicit additional proxies if there are insufficient votes to approve the Plan Increase Proposal (Proposal 3) at the time of the Annual Meeting or if we do not have a quorum.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stockholders approve this Proposal 6, we could adjourn the Annual Meeting and any reconvened session of the Annual Meeting and use the additional time to solicit additional proxies, including proxies from stockholders that have previously returned properly executed proxies voting against the approval of the Plan Increase Proposal. Among other things, approval of the this Proposal 6 could mean that, even if we had received proxies representing a sufficient number of votes against the approval of the Plan Increase Proposal such that the Plan Increase Proposal would be defeated, we could adjourn the Annual Meeting without a vote on the approval of the Plan Increase Proposal and seek to convince the holders of those shares to change their votes to votes in favor of the Plan Increase Proposal. Additionally, we may seek to adjourn the Annual Meeting if a quorum is not present.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believes that it is in the best interest of the Company and our stockholders to be able to adjourn the Annual Meeting to a later date or dates if necessary or appropriate for the purpose of soliciting additional proxies in respect of the approval of the Plan Increase Proposal if there are insufficient votes to approve it at the time of the Annual Meeting or in the absence of a quorum.</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THIS PROPOSAL TO ADJOURN THE ANNUAL MEETING, IF NECESSARY, TO SOLICIT ADDITIONAL PROXIES IF THERE ARE INSUFFICIENT VOTES AT THE TIME OF THE ANNUAL MEETING TO APPROVE THE PLAN INCREASE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October 3, 2022 (except where otherwise indicated) for:</w:t>
      </w:r>
    </w:p>
    <w:p>
      <w:pPr>
        <w:spacing w:after="0" w:line="162" w:lineRule="exact"/>
        <w:rPr>
          <w:sz w:val="20"/>
          <w:szCs w:val="20"/>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are known by us to beneficially own more than 5% of the outstanding shares of common stock;</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as identified in our Annual Report on Form 10-K filed with the SEC on March 31, 2022;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current directors and executive officers as a group.</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owned, total shares beneficially owned, and the percentage of common stock beneficially owned below assumes 78,521,264 shares of our common stock outstanding on October 3, 2022.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under SEC rules and includes sole or shared power to vote or dispose of shares of Company common stock. The number and percentage of shares beneficially owned by a person or entity also include shares of common stock subject to stock options that are currently exercisable or become exercisable within 60 days of October 3, 2022. However, these shares are not deemed to be outstanding for the purpose of computing the percentage of shares beneficially owned of any other person or entity. Except as indicated in footnotes to the table below or, where applicable, to the extent authority is shares by spouses under community property laws, the beneficial owners named in the table have, to our knowledge, sole voting and dispositive power with respect to all shares of common stock shown to be beneficially owned by them.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address for each stockholder listed is: 2915 Commers Drive, Suite 900, Eagan, Minnesota 55121.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340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320" w:type="dxa"/>
            <w:vAlign w:val="bottom"/>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34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16"/>
        </w:trPr>
        <w:tc>
          <w:tcPr>
            <w:tcW w:w="6520" w:type="dxa"/>
            <w:vAlign w:val="bottom"/>
          </w:tcPr>
          <w:p>
            <w:pPr>
              <w:spacing w:after="0"/>
              <w:rPr>
                <w:sz w:val="18"/>
                <w:szCs w:val="18"/>
                <w:color w:val="auto"/>
              </w:rPr>
            </w:pPr>
          </w:p>
        </w:tc>
        <w:tc>
          <w:tcPr>
            <w:tcW w:w="340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34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(1)</w:t>
            </w:r>
          </w:p>
        </w:tc>
      </w:tr>
      <w:tr>
        <w:trPr>
          <w:trHeight w:val="432"/>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3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7"/>
        </w:trPr>
        <w:tc>
          <w:tcPr>
            <w:tcW w:w="6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 Melville Engle</w:t>
            </w:r>
            <w:r>
              <w:rPr>
                <w:rFonts w:ascii="Times New Roman" w:cs="Times New Roman" w:eastAsia="Times New Roman" w:hAnsi="Times New Roman"/>
                <w:sz w:val="29"/>
                <w:szCs w:val="29"/>
                <w:color w:val="auto"/>
                <w:vertAlign w:val="superscript"/>
              </w:rPr>
              <w:t>(2)</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328,532</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7"/>
        </w:trPr>
        <w:tc>
          <w:tcPr>
            <w:tcW w:w="6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Bob Myers </w:t>
            </w:r>
            <w:r>
              <w:rPr>
                <w:rFonts w:ascii="Times New Roman" w:cs="Times New Roman" w:eastAsia="Times New Roman" w:hAnsi="Times New Roman"/>
                <w:sz w:val="29"/>
                <w:szCs w:val="29"/>
                <w:color w:val="auto"/>
                <w:vertAlign w:val="superscript"/>
              </w:rPr>
              <w:t>(3)</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109,948</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7"/>
        </w:trPr>
        <w:tc>
          <w:tcPr>
            <w:tcW w:w="6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Chuck Nuzum </w:t>
            </w:r>
            <w:r>
              <w:rPr>
                <w:rFonts w:ascii="Times New Roman" w:cs="Times New Roman" w:eastAsia="Times New Roman" w:hAnsi="Times New Roman"/>
                <w:sz w:val="29"/>
                <w:szCs w:val="29"/>
                <w:color w:val="auto"/>
                <w:vertAlign w:val="superscript"/>
              </w:rPr>
              <w:t>(4)</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394,292</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7"/>
        </w:trPr>
        <w:tc>
          <w:tcPr>
            <w:tcW w:w="6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Gregory St. Clair </w:t>
            </w:r>
            <w:r>
              <w:rPr>
                <w:rFonts w:ascii="Times New Roman" w:cs="Times New Roman" w:eastAsia="Times New Roman" w:hAnsi="Times New Roman"/>
                <w:sz w:val="29"/>
                <w:szCs w:val="29"/>
                <w:color w:val="auto"/>
                <w:vertAlign w:val="superscript"/>
              </w:rPr>
              <w:t>(5)</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147,170</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6"/>
        </w:trPr>
        <w:tc>
          <w:tcPr>
            <w:tcW w:w="6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Daniel Handley </w:t>
            </w:r>
            <w:r>
              <w:rPr>
                <w:rFonts w:ascii="Times New Roman" w:cs="Times New Roman" w:eastAsia="Times New Roman" w:hAnsi="Times New Roman"/>
                <w:sz w:val="29"/>
                <w:szCs w:val="29"/>
                <w:color w:val="auto"/>
                <w:vertAlign w:val="superscript"/>
              </w:rPr>
              <w:t>(6)</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137,359</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Vennare</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78,730</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6"/>
        </w:trPr>
        <w:tc>
          <w:tcPr>
            <w:tcW w:w="6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Nancy Chung-Welch</w:t>
            </w:r>
            <w:r>
              <w:rPr>
                <w:rFonts w:ascii="Times New Roman" w:cs="Times New Roman" w:eastAsia="Times New Roman" w:hAnsi="Times New Roman"/>
                <w:sz w:val="29"/>
                <w:szCs w:val="29"/>
                <w:color w:val="auto"/>
                <w:vertAlign w:val="superscript"/>
              </w:rPr>
              <w:t>(7)</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172,268</w:t>
            </w:r>
          </w:p>
        </w:tc>
        <w:tc>
          <w:tcPr>
            <w:tcW w:w="1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7"/>
        </w:trPr>
        <w:tc>
          <w:tcPr>
            <w:tcW w:w="6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All directors and executive officers as a group (7 persons) </w:t>
            </w:r>
            <w:r>
              <w:rPr>
                <w:rFonts w:ascii="Times New Roman" w:cs="Times New Roman" w:eastAsia="Times New Roman" w:hAnsi="Times New Roman"/>
                <w:sz w:val="29"/>
                <w:szCs w:val="29"/>
                <w:color w:val="auto"/>
                <w:vertAlign w:val="superscript"/>
              </w:rPr>
              <w:t>(8)</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1,368,299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named executive officers</w:t>
            </w:r>
          </w:p>
        </w:tc>
        <w:tc>
          <w:tcPr>
            <w:tcW w:w="3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6"/>
        </w:trPr>
        <w:tc>
          <w:tcPr>
            <w:tcW w:w="6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Carl Schwartz </w:t>
            </w:r>
            <w:r>
              <w:rPr>
                <w:rFonts w:ascii="Times New Roman" w:cs="Times New Roman" w:eastAsia="Times New Roman" w:hAnsi="Times New Roman"/>
                <w:sz w:val="29"/>
                <w:szCs w:val="29"/>
                <w:color w:val="auto"/>
                <w:vertAlign w:val="superscript"/>
              </w:rPr>
              <w:t>(9)</w:t>
            </w:r>
          </w:p>
        </w:tc>
        <w:tc>
          <w:tcPr>
            <w:tcW w:w="3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2,265,099</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sz w:val="20"/>
          <w:szCs w:val="20"/>
          <w:color w:val="auto"/>
        </w:rPr>
      </w:pPr>
    </w:p>
    <w:p>
      <w:pPr>
        <w:jc w:val="both"/>
        <w:ind w:left="340" w:hanging="332"/>
        <w:spacing w:after="0" w:line="25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125,139 shares issuable upon exercise of options held by Mr. Melville that are exercisable within 60 days of October 3, 2022.</w:t>
      </w:r>
    </w:p>
    <w:p>
      <w:pPr>
        <w:spacing w:after="0" w:line="9"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47,478 shares issuable upon exercise of options held by Mr. Myers that are exercisable within 60 days of October 3, 2022.</w:t>
      </w:r>
    </w:p>
    <w:p>
      <w:pPr>
        <w:spacing w:after="0" w:line="9"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40,277 shares issuable upon exercise of options held by Mr. Nuzum that are exercisable within 60 days of October 3,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26,623 shares issuable upon exercise of options held by Mr. St. Claire that are exercisable within 60 days of October 3,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32,846 shares issuable upon exercise of options held by Dr. Handley that are exercisable within 60 days of October 3,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40,277 shares issuable upon exercise of options held by Dr. Chung-Welch that are exercisable within 60 days of October 3,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312,640 shares issuable upon exercise of options that are exercisable within 60 days of October 3, 2022.</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173,404 shares issuable upon exercise of options held by Dr. Schwartz that are exercisable within 60 days of October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COPY OF THE COMPANY’S FORM 10-K ANNUAL REPORT, AS AMENDED, AND ANY AMENDMENTS THERETO, FOR THE FISCAL YEAR ENDED DECEMBER 31, 2021 (WITHOUT EXHIBITS), ACCOMPANIES THIS NOTICE OF MEETING AND PROXY STATEMENT. NO PART OF THE ANNUAL REPORT IS INCORPORATED HEREIN AND NO PART THEREOF IS TO BE CONSIDERED PROXY SOLICITING MATERIAL. THE COMPANY WILL FURNISH WITHOUT CHARGE TO EACH PERSON WHOSE PROXY IS BEING SOLICITED, UPON WRITTEN REQUEST OF ANY SUCH PERSON, ANY EXHIBIT DESCRIBED IN THE LIST ACCOMPANYING THE FORM 10-K, UPON THE PAYMENT, IN ADVANCE, OF REASONABLE FEES RELATED TO THE COMPANY’S FURNISHING SUCH EXHIBIT(S). REQUESTS FOR COPIES OF SUCH EXHIBIT(S) SHOULD BE DIRECTED TO THE COMPANY’S SECRETARY AT 2915 COMMERS DRIVE, SUITE 900, EAGAN, MINNESOTA, 55121.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and management know of no other matters that will be presented for consideration at the Annual Meeting. However, since it is possible that matters of which the Board and management are not now aware may come before the meeting or any adjournment of the meeting, the proxies confer discretionary authority with respect to acting thereon, and the persons named in such properly executed proxies intend to vote, act and consent in accordance with their best judgment with respect thereto. Upon receipt of such proxies (in the form enclosed) in time for voting, the shares represented thereby will be voted as indicated thereon and in the proxy statement.</w:t>
      </w:r>
    </w:p>
    <w:p>
      <w:pPr>
        <w:spacing w:after="0" w:line="18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/s/ J. Melville Engle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J. Melville Engle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Eagan,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tcPr>
          <w:p>
            <w:pPr>
              <w:jc w:val="center"/>
              <w:ind w:left="4310"/>
              <w:spacing w:after="0"/>
              <w:rPr>
                <w:sz w:val="20"/>
                <w:szCs w:val="20"/>
                <w:color w:val="auto"/>
              </w:rPr>
            </w:pPr>
            <w:r>
              <w:rPr>
                <w:rFonts w:ascii="Times New Roman" w:cs="Times New Roman" w:eastAsia="Times New Roman" w:hAnsi="Times New Roman"/>
                <w:sz w:val="18"/>
                <w:szCs w:val="18"/>
                <w:b w:val="1"/>
                <w:bCs w:val="1"/>
                <w:color w:val="auto"/>
                <w:w w:val="99"/>
              </w:rPr>
              <w:t>APPENDIX A</w:t>
            </w:r>
          </w:p>
        </w:tc>
        <w:tc>
          <w:tcPr>
            <w:tcW w:w="5040" w:type="dxa"/>
            <w:vAlign w:val="bottom"/>
          </w:tcPr>
          <w:p>
            <w:pPr>
              <w:spacing w:after="0"/>
              <w:rPr>
                <w:sz w:val="20"/>
                <w:szCs w:val="20"/>
                <w:color w:val="auto"/>
              </w:rPr>
            </w:pPr>
          </w:p>
        </w:tc>
      </w:tr>
      <w:tr>
        <w:trPr>
          <w:trHeight w:val="41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580" w:type="dxa"/>
            <w:vAlign w:val="bottom"/>
            <w:gridSpan w:val="2"/>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PREDICTIVE ONCOLOGY INC.</w:t>
            </w:r>
          </w:p>
        </w:tc>
      </w:tr>
      <w:tr>
        <w:trPr>
          <w:trHeight w:val="216"/>
        </w:trPr>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58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AMENDED AND RESTATED 2012 STOCK INCENTIVE PLAN</w:t>
            </w:r>
          </w:p>
        </w:tc>
      </w:tr>
      <w:tr>
        <w:trPr>
          <w:trHeight w:val="238"/>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2022</w:t>
            </w:r>
          </w:p>
        </w:tc>
      </w:tr>
      <w:tr>
        <w:trPr>
          <w:trHeight w:val="648"/>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58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r>
      <w:tr>
        <w:trPr>
          <w:trHeight w:val="648"/>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Purpose</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A-3</w:t>
            </w:r>
          </w:p>
        </w:tc>
      </w:tr>
      <w:tr>
        <w:trPr>
          <w:trHeight w:val="43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6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Administration</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A-3</w:t>
            </w:r>
          </w:p>
        </w:tc>
      </w:tr>
      <w:tr>
        <w:trPr>
          <w:trHeight w:val="43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Eligible Participants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A-3</w:t>
            </w:r>
          </w:p>
        </w:tc>
      </w:tr>
      <w:tr>
        <w:trPr>
          <w:trHeight w:val="432"/>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Types of Incentives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A-3</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Subject to the Plan</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 of Shares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Cancellation</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Type of Common Stock</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34"/>
        </w:trPr>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on Awards Granted to Non-Employee Directors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Duration and Time for Exercise</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A-4</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Manner of Exercise</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A-5</w:t>
            </w:r>
          </w:p>
        </w:tc>
      </w:tr>
      <w:tr>
        <w:trPr>
          <w:trHeight w:val="234"/>
        </w:trPr>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Incentive Stock Options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A-5</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Price</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Duration</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Exercise</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A-6</w:t>
            </w:r>
          </w:p>
        </w:tc>
      </w:tr>
      <w:tr>
        <w:trPr>
          <w:trHeight w:val="234"/>
        </w:trPr>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Issuance of Shares Upon Exercise</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A-6</w:t>
            </w:r>
          </w:p>
        </w:tc>
      </w:tr>
      <w:tr>
        <w:trPr>
          <w:trHeight w:val="41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6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 Awards, Restricted Stock and Restricted Stock Units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A-7</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 of Shares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A-7</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Sale Price</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A-7</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Restrictions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A-7</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Enforcement of Restrictions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A-7</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 of Restrictions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A-8</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 of Holders of Restricted Stock and Restricted Stock Units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A-8</w:t>
            </w:r>
          </w:p>
        </w:tc>
      </w:tr>
      <w:tr>
        <w:trPr>
          <w:trHeight w:val="216"/>
        </w:trPr>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A-8</w:t>
            </w:r>
          </w:p>
        </w:tc>
      </w:tr>
      <w:tr>
        <w:trPr>
          <w:trHeight w:val="234"/>
        </w:trPr>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5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Dividend Equivalents</w:t>
            </w:r>
          </w:p>
        </w:tc>
        <w:tc>
          <w:tcPr>
            <w:tcW w:w="5040" w:type="dxa"/>
            <w:vAlign w:val="bottom"/>
          </w:tcPr>
          <w:p>
            <w:pPr>
              <w:ind w:left="4760"/>
              <w:spacing w:after="0"/>
              <w:rPr>
                <w:sz w:val="20"/>
                <w:szCs w:val="20"/>
                <w:color w:val="auto"/>
              </w:rPr>
            </w:pPr>
            <w:r>
              <w:rPr>
                <w:rFonts w:ascii="Times New Roman" w:cs="Times New Roman" w:eastAsia="Times New Roman" w:hAnsi="Times New Roman"/>
                <w:sz w:val="18"/>
                <w:szCs w:val="18"/>
                <w:color w:val="auto"/>
                <w:w w:val="92"/>
              </w:rPr>
              <w:t>A-8</w:t>
            </w:r>
          </w:p>
        </w:tc>
      </w:tr>
      <w:tr>
        <w:trPr>
          <w:trHeight w:val="783"/>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40" w:type="dxa"/>
            <w:vAlign w:val="bottom"/>
          </w:tcPr>
          <w:p>
            <w:pPr>
              <w:jc w:val="center"/>
              <w:ind w:left="4310"/>
              <w:spacing w:after="0"/>
              <w:rPr>
                <w:sz w:val="20"/>
                <w:szCs w:val="20"/>
                <w:color w:val="auto"/>
              </w:rPr>
            </w:pPr>
            <w:r>
              <w:rPr>
                <w:rFonts w:ascii="Times New Roman" w:cs="Times New Roman" w:eastAsia="Times New Roman" w:hAnsi="Times New Roman"/>
                <w:sz w:val="18"/>
                <w:szCs w:val="18"/>
                <w:color w:val="auto"/>
              </w:rPr>
              <w:t>A-36</w:t>
            </w:r>
          </w:p>
        </w:tc>
        <w:tc>
          <w:tcPr>
            <w:tcW w:w="5040" w:type="dxa"/>
            <w:vAlign w:val="bottom"/>
          </w:tcPr>
          <w:p>
            <w:pPr>
              <w:spacing w:after="0"/>
              <w:rPr>
                <w:sz w:val="24"/>
                <w:szCs w:val="24"/>
                <w:color w:val="auto"/>
              </w:rPr>
            </w:pPr>
          </w:p>
        </w:tc>
      </w:tr>
      <w:tr>
        <w:trPr>
          <w:trHeight w:val="108"/>
        </w:trPr>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540" w:type="dxa"/>
            <w:vAlign w:val="bottom"/>
          </w:tcPr>
          <w:p>
            <w:pPr>
              <w:spacing w:after="0"/>
              <w:rPr>
                <w:sz w:val="9"/>
                <w:szCs w:val="9"/>
                <w:color w:val="auto"/>
              </w:rPr>
            </w:pPr>
          </w:p>
        </w:tc>
        <w:tc>
          <w:tcPr>
            <w:tcW w:w="5040" w:type="dxa"/>
            <w:vAlign w:val="bottom"/>
          </w:tcPr>
          <w:p>
            <w:pPr>
              <w:spacing w:after="0"/>
              <w:rPr>
                <w:sz w:val="9"/>
                <w:szCs w:val="9"/>
                <w:color w:val="auto"/>
              </w:rPr>
            </w:pPr>
          </w:p>
        </w:tc>
      </w:tr>
      <w:tr>
        <w:trPr>
          <w:trHeight w:val="68"/>
        </w:trPr>
        <w:tc>
          <w:tcPr>
            <w:tcW w:w="2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5540" w:type="dxa"/>
            <w:vAlign w:val="bottom"/>
            <w:shd w:val="clear" w:color="auto" w:fill="000000"/>
          </w:tcPr>
          <w:p>
            <w:pPr>
              <w:spacing w:after="0"/>
              <w:rPr>
                <w:sz w:val="5"/>
                <w:szCs w:val="5"/>
                <w:color w:val="auto"/>
              </w:rPr>
            </w:pPr>
          </w:p>
        </w:tc>
        <w:tc>
          <w:tcPr>
            <w:tcW w:w="50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Effective Date and Shareholder Approval; Termination of Plan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10.2.</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10.3.</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Non-transferability of Incentives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Termination or Death</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Restrictions under Securities Laws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A-9</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10.7.</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Plans and Agreements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10.8.</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10.9.</w:t>
            </w:r>
          </w:p>
        </w:tc>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Continued Employment, Engagement or Right to Corporate Assets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2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10.10.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Under Incentives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A-10</w:t>
            </w:r>
          </w:p>
        </w:tc>
      </w:tr>
      <w:tr>
        <w:trPr>
          <w:trHeight w:val="216"/>
        </w:trPr>
        <w:tc>
          <w:tcPr>
            <w:tcW w:w="260" w:type="dxa"/>
            <w:vAlign w:val="bottom"/>
          </w:tcPr>
          <w:p>
            <w:pPr>
              <w:spacing w:after="0"/>
              <w:rPr>
                <w:sz w:val="18"/>
                <w:szCs w:val="18"/>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10.11.  Amendment of the Plan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260" w:type="dxa"/>
            <w:vAlign w:val="bottom"/>
          </w:tcPr>
          <w:p>
            <w:pPr>
              <w:spacing w:after="0"/>
              <w:rPr>
                <w:sz w:val="18"/>
                <w:szCs w:val="18"/>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10.12.  Amendment of Agreements for Incentives; No Repricing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260" w:type="dxa"/>
            <w:vAlign w:val="bottom"/>
          </w:tcPr>
          <w:p>
            <w:pPr>
              <w:spacing w:after="0"/>
              <w:rPr>
                <w:sz w:val="18"/>
                <w:szCs w:val="18"/>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10.13.  Vesting Upon Change In Control</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260" w:type="dxa"/>
            <w:vAlign w:val="bottom"/>
          </w:tcPr>
          <w:p>
            <w:pPr>
              <w:spacing w:after="0"/>
              <w:rPr>
                <w:sz w:val="18"/>
                <w:szCs w:val="18"/>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10.14.  Sale, Merger, Exchange or Liquidation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A-12</w:t>
            </w:r>
          </w:p>
        </w:tc>
      </w:tr>
      <w:tr>
        <w:trPr>
          <w:trHeight w:val="216"/>
        </w:trPr>
        <w:tc>
          <w:tcPr>
            <w:tcW w:w="260" w:type="dxa"/>
            <w:vAlign w:val="bottom"/>
          </w:tcPr>
          <w:p>
            <w:pPr>
              <w:spacing w:after="0"/>
              <w:rPr>
                <w:sz w:val="18"/>
                <w:szCs w:val="18"/>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10.15.  Definition of Fair Market Value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A-13</w:t>
            </w:r>
          </w:p>
        </w:tc>
      </w:tr>
      <w:tr>
        <w:trPr>
          <w:trHeight w:val="216"/>
        </w:trPr>
        <w:tc>
          <w:tcPr>
            <w:tcW w:w="260" w:type="dxa"/>
            <w:vAlign w:val="bottom"/>
          </w:tcPr>
          <w:p>
            <w:pPr>
              <w:spacing w:after="0"/>
              <w:rPr>
                <w:sz w:val="18"/>
                <w:szCs w:val="18"/>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10.16.  Definition of Grant Date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16"/>
        </w:trPr>
        <w:tc>
          <w:tcPr>
            <w:tcW w:w="260" w:type="dxa"/>
            <w:vAlign w:val="bottom"/>
          </w:tcPr>
          <w:p>
            <w:pPr>
              <w:spacing w:after="0"/>
              <w:rPr>
                <w:sz w:val="18"/>
                <w:szCs w:val="18"/>
                <w:color w:val="auto"/>
              </w:rPr>
            </w:pPr>
          </w:p>
        </w:tc>
        <w:tc>
          <w:tcPr>
            <w:tcW w:w="8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10.17.  Compliance with Code Section 409A</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A-14</w:t>
            </w:r>
          </w:p>
        </w:tc>
      </w:tr>
      <w:tr>
        <w:trPr>
          <w:trHeight w:val="234"/>
        </w:trPr>
        <w:tc>
          <w:tcPr>
            <w:tcW w:w="26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10.18.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Prior Plan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u w:val="single" w:color="auto"/>
          <w:color w:val="auto"/>
        </w:rPr>
        <w:t>PREDICTIVE ONCOLOGY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2012 STOCK INCENTIVE PLAN</w:t>
      </w:r>
    </w:p>
    <w:p>
      <w:pPr>
        <w:spacing w:after="0" w:line="207" w:lineRule="exact"/>
        <w:rPr>
          <w:sz w:val="20"/>
          <w:szCs w:val="20"/>
          <w:color w:val="auto"/>
        </w:rPr>
      </w:pPr>
    </w:p>
    <w:p>
      <w:pPr>
        <w:jc w:val="both"/>
        <w:ind w:firstLine="656"/>
        <w:spacing w:after="0" w:line="258" w:lineRule="auto"/>
        <w:tabs>
          <w:tab w:leader="none" w:pos="196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Amended and Restated 2012 Stock Incentive Plan (the “Plan”) of Predictive Oncology Inc. (the “Company”) is to increase shareholder value and to advance the interests of the Company by furnishing a variety of economic incentives (“Incentives”) designed to attract, retain and motivate employees, certain key consultants and directors of the Company. Incentives may consist of opportunities to purchase or receive shares of Common Stock, $0.01 par value, of the Company (“Common Stock”) or other incentive awards on terms determined under this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17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board of directors of the Company (the “Board of Directors”) or by a stock option or compensation committee (the “Committee”) of the Board of Directors. The Committee shall consist of not less than two directors of the Company and shall be appointed from time to time by the Board of Directors. Each member of the Committee shall be (a) a “non-employee director” within the meaning of Rule 16b-3 of the Securities Exchange Act of 1934 (including the regulations promulgated thereunder, the “1934 Act”) (a “Non-Employee Director”), and (b) shall be independent directors under listing rules of The Nasdaq Stock Market or, if the Company is no longer listed on The Nasdaq Stock Market, then any national securities exchange on which the Company’s common stock may be listed. The Committee shall have complete authority to award Incentives under the Plan, to interpret the Plan, and to make any other determination which it believes necessary and advisable for the proper administration of the Plan. The Committee’s decisions and matters relating to the Plan shall be final and conclusive on the Company and its participants. If at any time there is no stock option or compensation committee, the term “Committee”, as used in the Plan, shall refer to the Board of Directors. Notwithstanding the foregoing or anything else to the contrary contained in the Plan, the Company’s Chief Executive Officer or Chief Financial Officer may, on a discretionary basis and without the Committee’s review or approval, grant Stock Options to purchase up to 25,000 shares each to employees of the Company who are not officers of the Company. Such discretionary Stock Option grants shall not exceed 100,000 shares in total in any fiscal year. Subject to the foregoing limitations, the Chief Executive Officer or Chief Financial Officer shall determine from time to time (i) the employees to whom grants will be made, (ii) the number of shares to be granted and (iii) the terms and provisions of each Stock Option (which need not be identical).</w:t>
      </w:r>
    </w:p>
    <w:p>
      <w:pPr>
        <w:spacing w:after="0" w:line="197" w:lineRule="exact"/>
        <w:rPr>
          <w:rFonts w:ascii="Times New Roman" w:cs="Times New Roman" w:eastAsia="Times New Roman" w:hAnsi="Times New Roman"/>
          <w:sz w:val="18"/>
          <w:szCs w:val="18"/>
          <w:color w:val="auto"/>
        </w:rPr>
      </w:pPr>
    </w:p>
    <w:p>
      <w:pPr>
        <w:jc w:val="both"/>
        <w:ind w:firstLine="656"/>
        <w:spacing w:after="0" w:line="256" w:lineRule="auto"/>
        <w:tabs>
          <w:tab w:leader="none" w:pos="17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Participants</w:t>
      </w:r>
      <w:r>
        <w:rPr>
          <w:rFonts w:ascii="Times New Roman" w:cs="Times New Roman" w:eastAsia="Times New Roman" w:hAnsi="Times New Roman"/>
          <w:sz w:val="18"/>
          <w:szCs w:val="18"/>
          <w:color w:val="auto"/>
        </w:rPr>
        <w:t>. Officers of the Company, employees of the Company or its subsidiaries, members of the Board of Directors, and consultants or other independent contractors who provide services to the Company or its subsidiaries shall be eligible to receive Incentives under the Plan when designated by the Committee. Participants may be designated individually or by groups or categories (for example, by pay grade) as the Committee deems appropriate. Participation by officers of the Company or its subsidiaries and any performance objectives relating to such officers must be approved by the Committee. Participation by others and any performance objectives relating to others may be approved by groups or categories (for example, by pay grade) and authority to designate participants who are not officers and to set or modify such targets may be delegated.</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181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Types of Incentives</w:t>
      </w:r>
      <w:r>
        <w:rPr>
          <w:rFonts w:ascii="Times New Roman" w:cs="Times New Roman" w:eastAsia="Times New Roman" w:hAnsi="Times New Roman"/>
          <w:sz w:val="18"/>
          <w:szCs w:val="18"/>
          <w:color w:val="auto"/>
        </w:rPr>
        <w:t>. Incentives under the Plan may be granted in any one or a combination of the following forms: (a) incentive stock options and non-statutory stock options (Section 6); (b) stock appreciation rights (“SARs”) (Section 7); (c) stock awards (Section 8); (d) restricted stock (Section 8); restricted stock units (Section 8) and performance awards (Section 9). Subject to the specific limitations provided in this Plan, payment of Incentives may be in the form of cash, Common Stock or combinations thereof as the Committee shall determine, and with such other restrictions as it may impose.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ind w:left="1620" w:hanging="984"/>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as provided in Section 10.6, the number of shares of Common Stock which may be issued under the Plan shall not exceed 5,750,000 shares of Common Stock. In addition, as of the Effective Date, any shares available in the reserve of the Prior Plan (as defined in Section 10.18) shall be added to the Plan share reserve and be available for issuance under the Plan. Any Shares delivered under the Plan may consist, in whole or in part, of authorized and unissued shares or treasury shares. Shares of Common Stock that are issued under the Plan or are subject to Incentives awarded under the Plan will be applied to reduce the maximum number of shares of Common Stock remaining available for issuance under the Plan.</w:t>
      </w:r>
    </w:p>
    <w:p>
      <w:pPr>
        <w:spacing w:after="0" w:line="187"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If an Incentive granted under the Plan or under the Prior Plan expires or is terminated or canceled unexercised as to any shares of Common Stock or forfeited or reacquired by the Company pursuant to rights reserved upon issuance thereof, such forfeited and reacquired shares may again be issued under the Plan pursuant to another Incentive. If any Shares subject to an Incentive granted under the Plan or under the Prior Plan are withheld or applied as payment in connection with the exercise of an Incentive (including the withholding of Shares on the exercise of a stock option or the exercise of an SAR that is settled in Shares) or the withholding or payment of taxes related thereto, such Shares shall not again be available for grant under the Plan.</w:t>
      </w:r>
    </w:p>
    <w:p>
      <w:pPr>
        <w:spacing w:after="0" w:line="187" w:lineRule="exact"/>
        <w:rPr>
          <w:sz w:val="20"/>
          <w:szCs w:val="20"/>
          <w:color w:val="auto"/>
        </w:rPr>
      </w:pPr>
    </w:p>
    <w:p>
      <w:pPr>
        <w:ind w:left="1280"/>
        <w:spacing w:after="0"/>
        <w:tabs>
          <w:tab w:leader="none" w:pos="21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Type of Common Stock</w:t>
      </w:r>
      <w:r>
        <w:rPr>
          <w:rFonts w:ascii="Times New Roman" w:cs="Times New Roman" w:eastAsia="Times New Roman" w:hAnsi="Times New Roman"/>
          <w:sz w:val="18"/>
          <w:szCs w:val="18"/>
          <w:color w:val="auto"/>
        </w:rPr>
        <w:t>. Common Stock issued under the Plan in connection with Incentives will be authorized and unissued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Limitation on Awards Granted to Non-Employee Directors</w:t>
      </w:r>
      <w:r>
        <w:rPr>
          <w:rFonts w:ascii="Times New Roman" w:cs="Times New Roman" w:eastAsia="Times New Roman" w:hAnsi="Times New Roman"/>
          <w:sz w:val="18"/>
          <w:szCs w:val="18"/>
          <w:color w:val="auto"/>
        </w:rPr>
        <w:t>. No member of the Board of Directors who is not also an employee of the Company may be granted any Incentive or Incentives that exceed in the aggregate $100,000 in value (such value computed as of the date of grant in accordance with applicable financial accounting rules) in any calendar year (provided that service solely as a director, or payment of a fee for such services, will not cause a director to be considered an “employee” for purposes of this Section 5.4). The foregoing limit shall not apply to any Incentive made pursuant to any election by the directors to receive an Incentive in lieu of all or a portion of annual and committee retainers and meeting fees.</w:t>
      </w:r>
    </w:p>
    <w:p>
      <w:pPr>
        <w:spacing w:after="0" w:line="187" w:lineRule="exact"/>
        <w:rPr>
          <w:sz w:val="20"/>
          <w:szCs w:val="20"/>
          <w:color w:val="auto"/>
        </w:rPr>
      </w:pPr>
    </w:p>
    <w:p>
      <w:pPr>
        <w:ind w:left="-20" w:firstLine="656"/>
        <w:spacing w:after="0" w:line="282" w:lineRule="auto"/>
        <w:tabs>
          <w:tab w:leader="none" w:pos="1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is a right to purchase shares of Common Stock from the Company. Each stock option granted by the Committee under this Plan shall be subject to the following terms and conditions:</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The option price per share shall be determined by the Committee, subject to adjustment under Section 10.6. Notwithstanding the foregoing sentence, the option price per share shall not be less than the Fair Market Value (as defined in Section 10.15) of the Common Stock on the Grant Date (as defined in Section 10.16).</w:t>
      </w:r>
    </w:p>
    <w:p>
      <w:pPr>
        <w:spacing w:after="0" w:line="176"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The number of shares of Common Stock subject to a stock option shall be determined by the Committee, subject to adjustment as provided in Section 10.6. The number of shares of Common Stock subject to a stock option shall be reduced in the same proportion that the holder thereof exercises an SAR if any SAR is granted in conjunction with or related to the stock option.</w:t>
      </w:r>
    </w:p>
    <w:p>
      <w:pPr>
        <w:spacing w:after="0" w:line="176"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Duration and Time for Exercise</w:t>
      </w:r>
      <w:r>
        <w:rPr>
          <w:rFonts w:ascii="Times New Roman" w:cs="Times New Roman" w:eastAsia="Times New Roman" w:hAnsi="Times New Roman"/>
          <w:sz w:val="18"/>
          <w:szCs w:val="18"/>
          <w:color w:val="auto"/>
        </w:rPr>
        <w:t>. Subject to earlier termination as provided in Section 10.3, the term of each stock option shall be determined by the Committee but shall not exceed ten years and one day from the Grant Date. Each stock option shall become exercisable at such time or times during its term as shall be determined by the Committee at the time of grant. The Committee may accelerate the exercisability of any stock option. Subject to the first sentence of this paragraph, the Committee may extend the term of any stock option to the extent provided in Section 10.4.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3" w:name="page44"/>
    <w:bookmarkEnd w:id="4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A stock option may be exercised, in whole or in part, by giving written notice to the Company, specifying the number of shares of Common Stock to be purchased and accompanied by the full purchase price for such shares. The option price shall be payable (a) in United States dollars upon exercise of the option and may be paid by cash, uncertified or certified check or bank draft; (b) unless otherwise provided in the option agreement, by delivery of shares of Common Stock in payment of all or any part of the option price, which shares shall be valued for this purpose at the Fair Market Value on the date such option is exercised; or (c) unless otherwise provided in the option agreement, by instructing the Company to withhold from the shares of Common Stock issuable upon exercise of the stock option shares of Common Stock in payment of all or any part of the exercise price and/or any related withholding tax obligations consistent with Section 10.8, which shares shall be valued for this purpose at the Fair Market Value or in such other manner as may be authorized from time to time by the Committee. Before the issuance of shares of Common Stock upon the exercise of a stock option, a participant shall have no rights as a shareholder.</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Incentive Stock Options</w:t>
      </w:r>
      <w:r>
        <w:rPr>
          <w:rFonts w:ascii="Times New Roman" w:cs="Times New Roman" w:eastAsia="Times New Roman" w:hAnsi="Times New Roman"/>
          <w:sz w:val="18"/>
          <w:szCs w:val="18"/>
          <w:color w:val="auto"/>
        </w:rPr>
        <w:t>. Notwithstanding anything in the Plan to the contrary, the following additional provisions shall apply to the grant of stock options which are intended to qualify as Incentive Stock Options (as such term is defined in Code Section 422):</w:t>
      </w:r>
    </w:p>
    <w:p>
      <w:pPr>
        <w:spacing w:after="0" w:line="162" w:lineRule="exact"/>
        <w:rPr>
          <w:sz w:val="20"/>
          <w:szCs w:val="20"/>
          <w:color w:val="auto"/>
        </w:rPr>
      </w:pPr>
    </w:p>
    <w:p>
      <w:pPr>
        <w:jc w:val="both"/>
        <w:ind w:left="640" w:firstLine="652"/>
        <w:spacing w:after="0" w:line="258" w:lineRule="auto"/>
        <w:tabs>
          <w:tab w:leader="none" w:pos="22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time the option is granted) of the shares of Common Stock with respect to which Incentive Stock Options are exercisable for the first time by any participant during any calendar year (under all of the Company’s plans) shall not exceed $100,000. The determination will be made by taking Incentive Stock Options into account in the order in which they were granted. If such excess only applies to a portion of an Incentive Stock Option, the Committee, in its discretion, will designate which shares will be treated as shares to be acquired upon exercise of an Incentive Stock Option.</w:t>
      </w:r>
    </w:p>
    <w:p>
      <w:pPr>
        <w:spacing w:after="0" w:line="183"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44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agreement for an Incentive Stock Option under the Plan shall contain such other provisions as the Committee shall deem advisable, but shall in all events be consistent with and contain all provisions required in order to qualify the options as Incentive Stock Options.</w:t>
      </w:r>
    </w:p>
    <w:p>
      <w:pPr>
        <w:spacing w:after="0" w:line="17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232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Incentive Stock Options must be granted within ten years from the earlier of the date on which this Plan was adopted by Board of Directors or the date this Plan was approved by the shareholders.</w:t>
      </w:r>
    </w:p>
    <w:p>
      <w:pPr>
        <w:spacing w:after="0" w:line="161" w:lineRule="exact"/>
        <w:rPr>
          <w:rFonts w:ascii="Times New Roman" w:cs="Times New Roman" w:eastAsia="Times New Roman" w:hAnsi="Times New Roman"/>
          <w:sz w:val="18"/>
          <w:szCs w:val="18"/>
          <w:color w:val="auto"/>
        </w:rPr>
      </w:pPr>
    </w:p>
    <w:p>
      <w:pPr>
        <w:ind w:left="2220" w:hanging="928"/>
        <w:spacing w:after="0"/>
        <w:tabs>
          <w:tab w:leader="none" w:pos="22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exercised, all Incentive Stock Options shall expire no later than ten years after the Grant Date.</w:t>
      </w:r>
    </w:p>
    <w:p>
      <w:pPr>
        <w:spacing w:after="0" w:line="225" w:lineRule="exact"/>
        <w:rPr>
          <w:rFonts w:ascii="Times New Roman" w:cs="Times New Roman" w:eastAsia="Times New Roman" w:hAnsi="Times New Roman"/>
          <w:sz w:val="18"/>
          <w:szCs w:val="18"/>
          <w:color w:val="auto"/>
        </w:rPr>
      </w:pPr>
    </w:p>
    <w:p>
      <w:pPr>
        <w:ind w:left="640" w:right="20" w:firstLine="652"/>
        <w:spacing w:after="0" w:line="282" w:lineRule="auto"/>
        <w:tabs>
          <w:tab w:leader="none" w:pos="23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price for Incentive Stock Options shall be not less than the Fair Market Value of the Common Stock subject to the option on the Grant Date.</w:t>
      </w:r>
    </w:p>
    <w:p>
      <w:pPr>
        <w:spacing w:after="0" w:line="161"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250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Incentive Stock Options are granted to any participant who, at the time such option is granted, would own (within the meaning of Code Section 422) stock possessing more than 10% of the total combined voting power of all classes of stock of the employer corporation or of its parent or subsidiary corporation, (i) the option price for such Incentive Stock Options shall be not less than 110% of the Fair Market Value of the Common Stock subject to the option on the Grant Date and (ii) such Incentive Stock Options shall expire no later than five years after the Grant Date.</w:t>
      </w:r>
    </w:p>
    <w:p>
      <w:pPr>
        <w:spacing w:after="0" w:line="2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4" w:name="page45"/>
    <w:bookmarkEnd w:id="44"/>
    <w:p>
      <w:pPr>
        <w:jc w:val="both"/>
        <w:ind w:left="-20" w:firstLine="656"/>
        <w:spacing w:after="0" w:line="258" w:lineRule="auto"/>
        <w:tabs>
          <w:tab w:leader="none" w:pos="17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An SAR is a right to receive, without payment to the Company, a number of shares of Common Stock, the amount of which is determined pursuant to the formula set forth in Section 7.5. An SAR may be granted (a) with respect to any stock option granted under this Plan, either concurrently with the grant of such stock option or at such later time as determined by the Committee (as to all or any portion of the shares of Common Stock subject to the stock option), or (b) alone, without reference to any related stock option. Each SAR granted by the Committee under this Plan shall be subject to the following terms and conditions:</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The exercise price per share of any SAR granted without reference to a stock option shall be determined by the Committee, subject to adjustment under Section 10.6. Notwithstanding the foregoing sentence, the exercise price per share shall not be less than the Fair Market Value of the Common Stock on the Grant Date.</w:t>
      </w:r>
    </w:p>
    <w:p>
      <w:pPr>
        <w:spacing w:after="0" w:line="176" w:lineRule="exact"/>
        <w:rPr>
          <w:sz w:val="20"/>
          <w:szCs w:val="20"/>
          <w:color w:val="auto"/>
        </w:rPr>
      </w:pPr>
    </w:p>
    <w:p>
      <w:pPr>
        <w:jc w:val="both"/>
        <w:ind w:left="640" w:firstLine="648"/>
        <w:spacing w:after="0" w:line="26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Each SAR granted to any participant shall relate to such number of shares of Common Stock as shall be determined by the Committee, subject to adjustment as provided in Section 10.6. In the case of an SAR granted with respect to a stock option, the number of shares of Common Stock to which the SAR relates shall be reduced in the same proportion that the holder of the option exercises the related stock option.</w:t>
      </w:r>
    </w:p>
    <w:p>
      <w:pPr>
        <w:spacing w:after="0" w:line="400"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Subject to earlier termination as provided in Section 10.3, the term of each SAR shall be determined by the Committee but shall not exceed ten years and one day from the Grant Date. Unless otherwise provided by the Committee, each SAR shall become exercisable at such time or times, to such extent and upon such conditions as the stock option, if any, to which it relates is exercisable. The Committee may in its discretion accelerate the exercisability of any SAR. Subject to the first sentence of this paragraph, the Committee may extend the term of any SAR to the extent provided in Section 10.4.</w:t>
      </w:r>
    </w:p>
    <w:p>
      <w:pPr>
        <w:spacing w:after="0" w:line="18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An SAR may be exercised, in whole or in part, by giving written notice to the Company, specifying the number of SARs which the holder wishes to exercise. Upon receipt of such written notice, the Company shall, within 90 days thereafter, deliver to the exercising holder certificates for the shares of Common Stock or cash or both, as determined by the Committee, to which the holder is entitled pursuant to Section 7.5.</w:t>
      </w:r>
    </w:p>
    <w:p>
      <w:pPr>
        <w:spacing w:after="0" w:line="180" w:lineRule="exact"/>
        <w:rPr>
          <w:sz w:val="20"/>
          <w:szCs w:val="20"/>
          <w:color w:val="auto"/>
        </w:rPr>
      </w:pPr>
    </w:p>
    <w:p>
      <w:pPr>
        <w:ind w:left="1280"/>
        <w:spacing w:after="0"/>
        <w:tabs>
          <w:tab w:leader="none" w:pos="218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Issuance of Shares Upon Exercise</w:t>
      </w:r>
      <w:r>
        <w:rPr>
          <w:rFonts w:ascii="Times New Roman" w:cs="Times New Roman" w:eastAsia="Times New Roman" w:hAnsi="Times New Roman"/>
          <w:sz w:val="18"/>
          <w:szCs w:val="18"/>
          <w:color w:val="auto"/>
        </w:rPr>
        <w:t>. The number of shares of Common Stock which shall be issuable upon the exercise of an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SAR shall be determined by dividing:</w:t>
      </w:r>
    </w:p>
    <w:p>
      <w:pPr>
        <w:spacing w:after="0" w:line="207" w:lineRule="exact"/>
        <w:rPr>
          <w:sz w:val="20"/>
          <w:szCs w:val="20"/>
          <w:color w:val="auto"/>
        </w:rPr>
      </w:pPr>
    </w:p>
    <w:p>
      <w:pPr>
        <w:jc w:val="both"/>
        <w:ind w:left="1280" w:firstLine="652"/>
        <w:spacing w:after="0" w:line="258" w:lineRule="auto"/>
        <w:tabs>
          <w:tab w:leader="none" w:pos="319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 stock option, the purchase price of the shares of Common Stock under the stock option or (2) in the case of an SAR granted alone, without reference to a related stock option, an amount which shall be determined by the Committee at the time of grant, subject to adjustment under Section 10.6); by</w:t>
      </w:r>
    </w:p>
    <w:p>
      <w:pPr>
        <w:spacing w:after="0" w:line="183" w:lineRule="exact"/>
        <w:rPr>
          <w:rFonts w:ascii="Times New Roman" w:cs="Times New Roman" w:eastAsia="Times New Roman" w:hAnsi="Times New Roman"/>
          <w:sz w:val="18"/>
          <w:szCs w:val="18"/>
          <w:color w:val="auto"/>
        </w:rPr>
      </w:pPr>
    </w:p>
    <w:p>
      <w:pPr>
        <w:ind w:left="2860" w:hanging="928"/>
        <w:spacing w:after="0"/>
        <w:tabs>
          <w:tab w:leader="none" w:pos="2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of Common Stock on the exercise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5" w:name="page46"/>
    <w:bookmarkEnd w:id="45"/>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w:t>
      </w:r>
    </w:p>
    <w:p>
      <w:pPr>
        <w:spacing w:after="0" w:line="176" w:lineRule="exact"/>
        <w:rPr>
          <w:sz w:val="20"/>
          <w:szCs w:val="20"/>
          <w:color w:val="auto"/>
        </w:rPr>
      </w:pPr>
    </w:p>
    <w:p>
      <w:pPr>
        <w:jc w:val="both"/>
        <w:ind w:left="-20" w:firstLine="656"/>
        <w:spacing w:after="0" w:line="256" w:lineRule="auto"/>
        <w:tabs>
          <w:tab w:leader="none" w:pos="16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Awards, Restricted Stock and Restricted Stock Units</w:t>
      </w:r>
      <w:r>
        <w:rPr>
          <w:rFonts w:ascii="Times New Roman" w:cs="Times New Roman" w:eastAsia="Times New Roman" w:hAnsi="Times New Roman"/>
          <w:sz w:val="18"/>
          <w:szCs w:val="18"/>
          <w:color w:val="auto"/>
        </w:rPr>
        <w:t>. A stock award consists of the transfer by the Company to a participant of shares of Common Stock, with or without other payment therefor, as additional compensation for services to the Company. A share of restricted stock consists of shares of Common Stock which are sold or transferred by the Company to a participant at a price, if any, determined by the Committee and subject to restrictions on their sale or other transfer by the participant. Restricted stock units represent the right to receive shares of Common Stock at a future date. The transfer of Common Stock pursuant to stock awards, ,the transfer or sale of restricted stock and restricted stock units shall be subject to the following terms and conditions:</w:t>
      </w:r>
    </w:p>
    <w:p>
      <w:pPr>
        <w:spacing w:after="0" w:line="187"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number of shares to be transferred or sold by the Company to a participant pursuant to a stock award or as restricted stock, or the number of shares that may be issued pursuant to a restricted stock unit, shall be determined by the Committee.</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Sale Price</w:t>
      </w:r>
      <w:r>
        <w:rPr>
          <w:rFonts w:ascii="Times New Roman" w:cs="Times New Roman" w:eastAsia="Times New Roman" w:hAnsi="Times New Roman"/>
          <w:sz w:val="18"/>
          <w:szCs w:val="18"/>
          <w:color w:val="auto"/>
        </w:rPr>
        <w:t>. The Committee shall determine the price, if any, at which shares of restricted stock shall be sold to a participant, which may vary from time to time and among participants and which may be below the Fair Market Value of such shares of Common Stock at the date of sale.</w:t>
      </w:r>
    </w:p>
    <w:p>
      <w:pPr>
        <w:spacing w:after="0" w:line="176"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All shares of restricted stock transferred or sold by the Company hereunder, and all restricted stock units granted hereunder, shall be subject to such restrictions as the Committee may determine, including, without limitation any or all of the following:</w:t>
      </w:r>
    </w:p>
    <w:p>
      <w:pPr>
        <w:spacing w:after="0" w:line="162" w:lineRule="exact"/>
        <w:rPr>
          <w:sz w:val="20"/>
          <w:szCs w:val="20"/>
          <w:color w:val="auto"/>
        </w:rPr>
      </w:pPr>
    </w:p>
    <w:p>
      <w:pPr>
        <w:jc w:val="both"/>
        <w:ind w:left="1280" w:firstLine="652"/>
        <w:spacing w:after="0" w:line="266" w:lineRule="auto"/>
        <w:tabs>
          <w:tab w:leader="none" w:pos="28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against the sale, transfer, pledge or other encumbrance of the shares of restricted stock, or the delivery of shares pursuant to restricted stock units, such prohibition to lapse at such time or times as the Committee shall determine (whether in annual or more frequent installments, at the time of the death, disability or retirement of the holder of such shares, or otherwise);</w:t>
      </w:r>
    </w:p>
    <w:p>
      <w:pPr>
        <w:spacing w:after="0" w:line="175" w:lineRule="exact"/>
        <w:rPr>
          <w:rFonts w:ascii="Times New Roman" w:cs="Times New Roman" w:eastAsia="Times New Roman" w:hAnsi="Times New Roman"/>
          <w:sz w:val="18"/>
          <w:szCs w:val="18"/>
          <w:color w:val="auto"/>
        </w:rPr>
      </w:pPr>
    </w:p>
    <w:p>
      <w:pPr>
        <w:jc w:val="both"/>
        <w:ind w:left="1280" w:firstLine="652"/>
        <w:spacing w:after="0" w:line="261" w:lineRule="auto"/>
        <w:tabs>
          <w:tab w:leader="none" w:pos="29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holder of shares of restricted stock or restricted stock units forfeit, or (in the case of shares sold to a participant) re-sell back to the Company at his or her cost, all or a part of such shares in the event of termination of his or her employment, service on the Board of Directors or consulting engagement during any period in which such shares are subject to restrictions; and</w:t>
      </w:r>
    </w:p>
    <w:p>
      <w:pPr>
        <w:spacing w:after="0" w:line="179" w:lineRule="exact"/>
        <w:rPr>
          <w:rFonts w:ascii="Times New Roman" w:cs="Times New Roman" w:eastAsia="Times New Roman" w:hAnsi="Times New Roman"/>
          <w:sz w:val="18"/>
          <w:szCs w:val="18"/>
          <w:color w:val="auto"/>
        </w:rPr>
      </w:pPr>
    </w:p>
    <w:p>
      <w:pPr>
        <w:ind w:left="2860" w:hanging="928"/>
        <w:spacing w:after="0"/>
        <w:tabs>
          <w:tab w:leader="none" w:pos="28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conditions or restrictions as the Committee may deem advisable.</w:t>
      </w:r>
    </w:p>
    <w:p>
      <w:pPr>
        <w:spacing w:after="0" w:line="225"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Enforcement of Restrictions</w:t>
      </w:r>
      <w:r>
        <w:rPr>
          <w:rFonts w:ascii="Times New Roman" w:cs="Times New Roman" w:eastAsia="Times New Roman" w:hAnsi="Times New Roman"/>
          <w:sz w:val="18"/>
          <w:szCs w:val="18"/>
          <w:color w:val="auto"/>
        </w:rPr>
        <w:t>. In order to enforce the restrictions imposed by the Committee pursuant to Section 8.3, the participant receiving restricted stock or restricted stock units shall enter into an agreement with the Company setting forth the conditions of the grant. Shares of restricted stock shall be registered in the name of the participant and deposited, together with a stock power endorsed in blank, with the Company. Each such certificate shall bear a legend that refers to the Plan and the restrictions imposed under the applicable agreement. At the Committee’s election, shares of restricted stock may be held in book entry form subject to the Company’s instructions until any restrictions relating to the restricted stock grant lapse.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6" w:name="page47"/>
    <w:bookmarkEnd w:id="46"/>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End of Restrictions</w:t>
      </w:r>
      <w:r>
        <w:rPr>
          <w:rFonts w:ascii="Times New Roman" w:cs="Times New Roman" w:eastAsia="Times New Roman" w:hAnsi="Times New Roman"/>
          <w:sz w:val="18"/>
          <w:szCs w:val="18"/>
          <w:color w:val="auto"/>
        </w:rPr>
        <w:t>. Subject to Section 10.5, at the end of any time period during which the shares of restricted stock are subject to forfeiture and restrictions on transfer, such shares will be delivered free of all restrictions to the participant or to the participant’s legal representative, beneficiary or heir. Subject to Section 10.5, upon the lapse or waiver of restrictions applicable to restricted stock units, or at a later time specified in the agreement governing the grant of restricted stock units, any shares derived from the restricted stock units shall be issued and delivered to the holder of the restricted stock units.</w:t>
      </w:r>
    </w:p>
    <w:p>
      <w:pPr>
        <w:spacing w:after="0" w:line="183"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Rights of Holders of Restricted Stock and Restricted Stock Units</w:t>
      </w:r>
      <w:r>
        <w:rPr>
          <w:rFonts w:ascii="Times New Roman" w:cs="Times New Roman" w:eastAsia="Times New Roman" w:hAnsi="Times New Roman"/>
          <w:sz w:val="18"/>
          <w:szCs w:val="18"/>
          <w:color w:val="auto"/>
        </w:rPr>
        <w:t>. Subject to the terms and conditions of the Plan, each participant receiving restricted stock shall have all the rights of a shareholder with respect to shares of stock during any period in which such shares are subject to forfeiture and restrictions on transfer, including without limitation, the right to vote such shares. Any holder of restricted stock units shall not be, and shall not have rights and privileges of, a shareholder with respect to any shares that may be derived from the restricted stock units unless and until such shares have been issued.</w:t>
      </w:r>
    </w:p>
    <w:p>
      <w:pPr>
        <w:spacing w:after="0" w:line="183"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 Restricted stock units may be satisfied by delivery of shares of stock, cash equal to the Fair Market Value of the specified number of shares covered by the restricted stock units, or a combination thereof, as determined by the Committee at the date of grant or thereafter.</w:t>
      </w:r>
    </w:p>
    <w:p>
      <w:pPr>
        <w:spacing w:after="0" w:line="176"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In connection with any award of restricted stock units, the Committee may grant the right to receive cash, shares of stock or other property equal in value to dividends paid with respect to the number of shares represented by the restricted stock units (“Dividend Equivalents”). Unless otherwise determined by the Committee at the date of grant, any Dividend Equivalents that are granted with respect to any award of restricted stock units shall be either (a) paid with respect to such restricted stock units at the dividend payment date in cash or in shares of unrestricted stock having a Fair Market Value equal to the amount of such dividends, or (b) deferred with respect to such restricted stock units and the amount or value thereof automatically deemed reinvested in additional restricted stock units until the time for delivery of shares (if any) pursuant to the terms of the restricted stock unit award.</w:t>
      </w:r>
    </w:p>
    <w:p>
      <w:pPr>
        <w:spacing w:after="0" w:line="189" w:lineRule="exact"/>
        <w:rPr>
          <w:sz w:val="20"/>
          <w:szCs w:val="20"/>
          <w:color w:val="auto"/>
        </w:rPr>
      </w:pPr>
    </w:p>
    <w:p>
      <w:pPr>
        <w:jc w:val="both"/>
        <w:ind w:left="-20" w:firstLine="656"/>
        <w:spacing w:after="0" w:line="261" w:lineRule="auto"/>
        <w:tabs>
          <w:tab w:leader="none" w:pos="1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right of a participant to exercise or receive a grant or settlement of any Incentive, and the timing thereof, may be subject to such performance conditions as may be specified by the Committee (such an Incentive is referred to as a “Performance Award”). The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79" w:lineRule="exact"/>
        <w:rPr>
          <w:rFonts w:ascii="Times New Roman" w:cs="Times New Roman" w:eastAsia="Times New Roman" w:hAnsi="Times New Roman"/>
          <w:sz w:val="18"/>
          <w:szCs w:val="18"/>
          <w:color w:val="auto"/>
        </w:rPr>
      </w:pPr>
    </w:p>
    <w:p>
      <w:pPr>
        <w:ind w:left="1540" w:hanging="904"/>
        <w:spacing w:after="0"/>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Plan Effective Date and Shareholder Approval; Termination of Plan</w:t>
      </w:r>
      <w:r>
        <w:rPr>
          <w:rFonts w:ascii="Times New Roman" w:cs="Times New Roman" w:eastAsia="Times New Roman" w:hAnsi="Times New Roman"/>
          <w:sz w:val="18"/>
          <w:szCs w:val="18"/>
          <w:color w:val="auto"/>
        </w:rPr>
        <w:t>. The Plan shall become effective on the Effective Date, subject to subsequent approval within twelve (12) months of its adoption by the Board by shareholders of the Company eligible to vote in the election of directors, by a vote sufficient to meet the requirements of Code Section 422, Rule 16b-3 under the Exchange Act (if applicable), applicable requirements of any stock exchange, if any, and other laws, regulations, and obligations of the Company applicable to the Plan. Awards may be granted subject to shareholder approval, but may not be exercised or otherwise settled in the event shareholder approval is not obtained. The Plan shall terminate no later than ten (10) years from the date of the later of (x) the Effective Date and (y) the date an increase in the number of shares reserved for issuance under the Plan is approved by the Board (so long as such increase is also approved by the shareholders).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7" w:name="page48"/>
    <w:bookmarkEnd w:id="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The Plan shall remain in effect until all Incentives granted under the Plan have either been satisfied by the issuance of shares of Common Stock or the payment of cash or been terminated under the terms of the Plan and all restrictions imposed on shares of Common Stock in connection with their issuance under the Plan have lapsed. No Incentives may be granted under the Plan after the tenth anniversary of the Effective Date of the Plan.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Non-transferability of Incentives</w:t>
      </w:r>
      <w:r>
        <w:rPr>
          <w:rFonts w:ascii="Times New Roman" w:cs="Times New Roman" w:eastAsia="Times New Roman" w:hAnsi="Times New Roman"/>
          <w:sz w:val="18"/>
          <w:szCs w:val="18"/>
          <w:color w:val="auto"/>
        </w:rPr>
        <w:t>. No stock option, SAR, restricted stock or stock award may be transferred, pledged or assigned by the holder thereof (except, in the event of the holder’s death, by will or the laws of descent and distribution to the limited extent provided in the Plan or the Incentive, or pursuant to a qualified domestic relations order as defined by the Code or Title I of the Employee Retirement Income Security Act, or the rules thereunder), and the Company shall not be required to recognize any attempted assignment of such rights by any participant. Notwithstanding the preceding sentence, stock options (other than stock options intended to qualify as Incentive Stock Options pursuant to Section 6.5) may be transferred by the holder thereof to the holder’s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Code Section 501(c)(3). During a participant’s lifetime, a stock option may be exercised only by him or her, by his or her guardian or legal representative or by the transferees permitted by this Section 10.3.</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Effect of Termination or Death</w:t>
      </w:r>
      <w:r>
        <w:rPr>
          <w:rFonts w:ascii="Times New Roman" w:cs="Times New Roman" w:eastAsia="Times New Roman" w:hAnsi="Times New Roman"/>
          <w:sz w:val="18"/>
          <w:szCs w:val="18"/>
          <w:color w:val="auto"/>
        </w:rPr>
        <w:t>. If a participant ceases to be an employee of or consultant to the Company for any reason, including death or disability, any Incentives may be exercised or shall expire at such times as may be set forth in the agreement, if any, applicable to the Incentive, or otherwise as determined by the Committee; provided, however, the term of an Incentive may not be extended beyond the term originally prescribed when the Incentive was granted, unless the Incentive satisfies (or is amended to satisfy) the requirements of Code Section 409A, including the rules and regulations promulgated thereunder (together, “Code Section 409A”); and provided further that the term of an Incentive may not be extended beyond the maximum term permitted under this Plan.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Restrictions under Securities Laws</w:t>
      </w:r>
      <w:r>
        <w:rPr>
          <w:rFonts w:ascii="Times New Roman" w:cs="Times New Roman" w:eastAsia="Times New Roman" w:hAnsi="Times New Roman"/>
          <w:sz w:val="18"/>
          <w:szCs w:val="18"/>
          <w:color w:val="auto"/>
        </w:rPr>
        <w:t>. Notwithstanding anything in this Plan to the contrary: (a) the Company may, if it shall determine it necessary or desirable for any reason, at the time of award of any Incentive or the issuance of any shares of Common Stock pursuant to any Incentive, require the recipient of the Incentive, as a condition to the receipt thereof or to the receipt of shares of Common Stock issued pursuant thereto, to deliver to the Company a written representation of present intention to acquire the Incentive or the shares of Common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Common Stock issuable pursuant thereto is necessary on any securities exchange or under any federal or state securities or blue sky law, or that the consent or approval of any governmental regulatory body is necessary or desirable as a condition of, or in connection with the award of any Incentive, the issuance of shares of Common Stock pursuant thereto, or the removal of any restrictions imposed on such shares, such Incentive shall not be awarded or such shares of Common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29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8" w:name="page49"/>
    <w:bookmarkEnd w:id="4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In the event of any recapitalization, stock dividend, stock split, combination of shares or other change in the Common Stock, the number of shares of Common Stock then subject to the Plan, including shares subject to outstanding Incentives, and the other numbers of shares of Common Stock provided in the Plan, shall be adjusted in proportion to the change in outstanding shares of Common Stock. In the event of any such adjustments, the purchase price of any option, the performance objectives of any Incentive, and the shares of Common Stock issuable pursuant to any Incentive shall be adjusted as and to the extent appropriate, in the discretion of the Committee, to provide participants with the same relative rights before and after such adjustment.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Incentive Plans and Agreements</w:t>
      </w:r>
      <w:r>
        <w:rPr>
          <w:rFonts w:ascii="Times New Roman" w:cs="Times New Roman" w:eastAsia="Times New Roman" w:hAnsi="Times New Roman"/>
          <w:sz w:val="18"/>
          <w:szCs w:val="18"/>
          <w:color w:val="auto"/>
        </w:rPr>
        <w:t>. Except in the case of stock awards, the terms of each Incentive shall be stated in a plan or agreement approved by the Committee. The Committee may also determine to enter into agreements with holders of options to reclassify or convert certain outstanding options, within the terms of the Plan, as Incentive Stock Options or as non-statutory stock options and in order to eliminate SARs with respect to all or part of such options and any other previously issued options. The Committee shall communicate the key terms of each award to the participant promptly after the Committee approves the grant of such award.</w:t>
      </w:r>
    </w:p>
    <w:p>
      <w:pPr>
        <w:spacing w:after="0" w:line="183" w:lineRule="exact"/>
        <w:rPr>
          <w:sz w:val="20"/>
          <w:szCs w:val="20"/>
          <w:color w:val="auto"/>
        </w:rPr>
      </w:pPr>
    </w:p>
    <w:p>
      <w:pPr>
        <w:ind w:left="640"/>
        <w:spacing w:after="0"/>
        <w:tabs>
          <w:tab w:leader="none" w:pos="14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640" w:firstLine="652"/>
        <w:spacing w:after="0" w:line="254" w:lineRule="auto"/>
        <w:tabs>
          <w:tab w:leader="none" w:pos="22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withhold from any payments made under the Plan or to collect as a condition of payment, any taxes required by law to be withheld. If so permitted by the Committee at the time of the award of any Incentive or at a later time, at any time when a participant is required to pay to the Company an amount required to be withheld under applicable income tax laws in connection with a distribution of Common Stock or upon exercise of an option or SAR or upon vesting of restricted stock, the participant may satisfy this obligation in whole or in part by electing (the “Election”) to have the Company withhold, from the distribution or from such shares of restricted stock, shares of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24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Election must be made before the Tax Date. The Committee may disapprove of any Election, may suspend or terminate the right to make Elections, or may provide with respect to any Incentive that the right to make Elections shall not apply to such Incentive. An Election is irrevocable.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No Continued Employment, Engagement or Right to Corporate Assets</w:t>
      </w:r>
      <w:r>
        <w:rPr>
          <w:rFonts w:ascii="Times New Roman" w:cs="Times New Roman" w:eastAsia="Times New Roman" w:hAnsi="Times New Roman"/>
          <w:sz w:val="18"/>
          <w:szCs w:val="18"/>
          <w:color w:val="auto"/>
        </w:rPr>
        <w:t>. No participant under the Plan shall have any right, because of his or her participation, to continue in the employ of the Company for any period of time or to any right to continue his or her present or any other rate of compensation. Nothing contained in the Plan shall be construed as giving an employee, a consultant, such persons’ beneficiaries or any other person any equity or interests of any kind in the assets of the Company or creating a trust of any kind or a fiduciary relationship of any kind between the Company and any such person.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Payments Under Incentives</w:t>
      </w:r>
      <w:r>
        <w:rPr>
          <w:rFonts w:ascii="Times New Roman" w:cs="Times New Roman" w:eastAsia="Times New Roman" w:hAnsi="Times New Roman"/>
          <w:sz w:val="18"/>
          <w:szCs w:val="18"/>
          <w:color w:val="auto"/>
        </w:rPr>
        <w:t>. Payment of cash or distribution of any shares of Common Stock to which a participant is entitled under any Incentive shall be made as provided in the Incentive. Except as permitted under Section 10.17, payments and distributions may not be deferred under any Incentive unless the deferral complies with the requirements of Code Section 409A.</w:t>
      </w:r>
    </w:p>
    <w:p>
      <w:pPr>
        <w:spacing w:after="0" w:line="28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9" w:name="page50"/>
    <w:bookmarkEnd w:id="4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 The Board of Directors may amend or discontinue the Plan at any time. However, no such amendment or discontinuance shall adversely change or impair, without the consent of the recipient, an Incentive previously granted. Further, no such amendment shall, without approval of the shareholders of the Company, (a) increase the maximum number of shares of Common Stock which may be issued to all participants under the Plan, (b) change or expand the types of Incentives that may be granted under the Plan, (c) change the class of persons eligible to receive Incentives under the Plan, or (d) materially increase the benefits accruing to participants under the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Amendment of Agreements for Incentives; No Repricing</w:t>
      </w:r>
      <w:r>
        <w:rPr>
          <w:rFonts w:ascii="Times New Roman" w:cs="Times New Roman" w:eastAsia="Times New Roman" w:hAnsi="Times New Roman"/>
          <w:sz w:val="18"/>
          <w:szCs w:val="18"/>
          <w:color w:val="auto"/>
        </w:rPr>
        <w:t>. Except as otherwise provided in this Section 10.12 or Section 10.17, the terms of an existing Incentive may be amended by agreement between the Committee and the participant. Notwithstanding the foregoing sentence, in the case of a stock option or SAR, no such amendment shall (a) without shareholder approval, lower the exercise price of a previously granted stock option or SAR, cancel a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except as provided in Sections 10.4 and 10.17.</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Vesting Upon Change In Control</w:t>
      </w:r>
      <w:r>
        <w:rPr>
          <w:rFonts w:ascii="Times New Roman" w:cs="Times New Roman" w:eastAsia="Times New Roman" w:hAnsi="Times New Roman"/>
          <w:sz w:val="18"/>
          <w:szCs w:val="18"/>
          <w:color w:val="auto"/>
        </w:rPr>
        <w:t>. Upon the occurrence of an event satisfying the definition of “Change in Control” with respect to a particular Incentive, unless otherwise provided in the agreement for the Incentive, such Incentive shall become vested and all restrictions shall lapse. The Committee may, in its discretion, include such further provisions and limitations in any agreement for an Incentive as it may deem desirable. For purposes of this Section 10.13, “Change in Control” means the occurrence of any one or more of the following:</w:t>
      </w:r>
    </w:p>
    <w:p>
      <w:pPr>
        <w:spacing w:after="0" w:line="180" w:lineRule="exact"/>
        <w:rPr>
          <w:sz w:val="20"/>
          <w:szCs w:val="20"/>
          <w:color w:val="auto"/>
        </w:rPr>
      </w:pPr>
    </w:p>
    <w:p>
      <w:pPr>
        <w:jc w:val="both"/>
        <w:ind w:left="640" w:firstLine="652"/>
        <w:spacing w:after="0" w:line="261" w:lineRule="auto"/>
        <w:tabs>
          <w:tab w:leader="none" w:pos="243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statutory exchange or reorganization approved by the Company’s shareholders, unless securities representing more than fifty percent (50%) of the total combined voting power of the outstanding voting securities of the successor corporation are immediately thereafter beneficially owned directly or indirectly and in substantially the same proportion, by the persons who beneficially owned the Company’s outstanding voting securities immediately prior to such transaction;</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22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pursuant to which any person or any group of persons comprising a “group” within the meaning of Rule 13d-5(b)(1) under the Securities Exchange Act of 1934, as amended (other than the Company or a person that, prior to such transaction or series of related transactions, directly or indirectly controls, is controlled by or is under common control with, the Company) becomes directly or indirectly the beneficial owner (within the meaning of Rule 13d-3 of the Securities Exchange Act of 1934, as amended) of securities possessing (or convertible into or exercisable for securities possessing) thirty percent (30%) or more of the total combined voting power of the securities (determined by the power to vote with respect to the elections of Board members) outstanding immediately after the consummation of such transaction or series of related transactions, whether such transaction involves a direct issuance from the Company or the acquisition of outstanding securities held by one or more of the Company’s shareholders;</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58" w:lineRule="auto"/>
        <w:tabs>
          <w:tab w:leader="none" w:pos="261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Company immediately prior to such sale, lease, license, or other disposition; or</w:t>
      </w:r>
    </w:p>
    <w:p>
      <w:pPr>
        <w:spacing w:after="0" w:line="2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0" w:name="page51"/>
    <w:bookmarkEnd w:id="50"/>
    <w:p>
      <w:pPr>
        <w:jc w:val="both"/>
        <w:ind w:left="640" w:firstLine="652"/>
        <w:spacing w:after="0" w:line="261" w:lineRule="auto"/>
        <w:tabs>
          <w:tab w:leader="none" w:pos="22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Directors (the “Incumbent Board”) cease for any reason to constitute at least a majority of the Directors; provided, however, that if the appointment or election (or nomination for election) of any new Director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(i) the definition of Change in Control (or any analogous term) in an individual written agreement between the Company and the Participant shall supersede the foregoing definition with respect to Incentives subject to such agreement (it being understood, however, that if no definition of Change in Control or any analogous term is set forth in such an individual written agreement, the foregoing definition shall apply); and (ii) a “Change in Control” shall not be deemed to have occurred for purposes of the foregoing clause (b) solely as the result of a repurchase or other acquisition of securities by Company which, by reducing the number of shares of Voting Securities outstanding, increases the proportionate number of Voting Securities beneficially owned by any person to thirty percent (30%) or more of the combined voting power of all of the then outstanding Voting Securities; provided, however, that if any person referred to in this clause (ii) shall thereafter become the beneficial owner of any additional shares of Voting Securities (other than pursuant to a stock split, stock dividend, or similar transaction or as a result of an acquisition of securities directly from Company) and immediately thereafter beneficially owns thirty percent (30%) or more of the combined voting power of all of the then outstanding Voting Securities, then a “Change in Control” shall be deemed to have occurred for purposes of the foregoing clause (b).</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Sale, Merger, Exchange or Liquidation</w:t>
      </w:r>
      <w:r>
        <w:rPr>
          <w:rFonts w:ascii="Times New Roman" w:cs="Times New Roman" w:eastAsia="Times New Roman" w:hAnsi="Times New Roman"/>
          <w:sz w:val="18"/>
          <w:szCs w:val="18"/>
          <w:color w:val="auto"/>
        </w:rPr>
        <w:t>. Unless otherwise provided in the agreement for an Incentive, in the event of an acquisition of the Company through the sale of substantially all of the Company’s assets or through a merger, exchange, reorganization or liquidation of the Company or a similar event as determined by the Committee (collectively a “transaction”), the Committee shall be authorized, in its sole discretion, to take any and all action it deems equitable under the circumstances, including but not limited to any one or more of the following:</w:t>
      </w:r>
    </w:p>
    <w:p>
      <w:pPr>
        <w:spacing w:after="0" w:line="200" w:lineRule="exact"/>
        <w:rPr>
          <w:sz w:val="20"/>
          <w:szCs w:val="20"/>
          <w:color w:val="auto"/>
        </w:rPr>
      </w:pPr>
    </w:p>
    <w:p>
      <w:pPr>
        <w:spacing w:after="0" w:line="203" w:lineRule="exact"/>
        <w:rPr>
          <w:sz w:val="20"/>
          <w:szCs w:val="20"/>
          <w:color w:val="auto"/>
        </w:rPr>
      </w:pPr>
    </w:p>
    <w:p>
      <w:pPr>
        <w:jc w:val="both"/>
        <w:ind w:left="640" w:firstLine="652"/>
        <w:spacing w:after="0" w:line="254" w:lineRule="auto"/>
        <w:tabs>
          <w:tab w:leader="none" w:pos="22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and all Incentives shall terminate and the holders of (i) all outstanding vested options shall receive, in lieu of any shares of Common Stock they would be entitled to receive under such options, such stock, securities or assets, including cash, as would have been paid to such participants if their options had been exercised and such participant had received Common Stock immediately before such transaction (with appropriate adjustment for the exercise price, if any), (ii) SARs that entitle the participant to receive Common Stock shall receive, in lieu of any shares of Common Stock each participant was entitled to receive as of the date of the transaction pursuant to the terms of such Incentive, if any, such stock, securities or assets, including cash, as would have been paid to such participant if such Common Stock had been issued to and held by the participant immediately before such transaction, and (iii) any Incentive under the Employment Agreement which does not entitle the participant to receive Common Stock shall be equitably treated as determined by the Committee.</w:t>
      </w:r>
    </w:p>
    <w:p>
      <w:pPr>
        <w:spacing w:after="0" w:line="29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1" w:name="page52"/>
    <w:bookmarkEnd w:id="51"/>
    <w:p>
      <w:pPr>
        <w:jc w:val="both"/>
        <w:ind w:left="640" w:firstLine="652"/>
        <w:spacing w:after="0" w:line="256" w:lineRule="auto"/>
        <w:tabs>
          <w:tab w:leader="none" w:pos="22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participants holding outstanding vested Common Stock based Incentives shall receive, with respect to each share of Common Stock issuable pursuant to such Incentives as of the effective date of any such transaction, at the determination of the Committee, cash, securities or other property, or any combination thereof, in an amount equal to the excess, if any, of the Fair Market Value of such Common Stock on a date within ten days before the effective date of such transaction over the option price or other amount owed by a participant, if any, and that such Incentives shall be cancelled, including the cancellation without consideration of all options that have an exercise price below the per share value of the consideration received by the Company in the transaction.</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28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(or replacement plan) shall continue with respect to Incentives not cancelled or terminated as of the effective date of such transaction and provide to participants holding such Incentives the right to earn their respective Incentives on a substantially equivalent basis (taking into account the transaction and the number of shares or other equity issued by such successor entity) with respect to the equity of the entity succeeding the Company by reason of such transaction.</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4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vesting of any Incentives is not accelerated pursuant to Section 10.13, providing that all unvested, unearned or restricted Incentives, including but not limited to restricted stock for which restrictions have not lapsed as of the effective date of such transaction, shall be void and deemed terminated, or, in the alternative, for the acceleration or waiver of any vesting, earning or restrictions on any Incentive.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restrict the rights of participants or the applicability of this Section 10.14 to the extent necessary to comply with Section 16(b) of the 1934 Act, the Code or any other applicable law or regulation. The grant of an Incentive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Definition of Fair Market Value</w:t>
      </w:r>
      <w:r>
        <w:rPr>
          <w:rFonts w:ascii="Times New Roman" w:cs="Times New Roman" w:eastAsia="Times New Roman" w:hAnsi="Times New Roman"/>
          <w:sz w:val="18"/>
          <w:szCs w:val="18"/>
          <w:color w:val="auto"/>
        </w:rPr>
        <w:t>. For purposes of this Plan, the “Fair Market Value” of a share of Common Stock at a specified date shall, unless otherwise expressly provided in this Plan, be the amount which the Committee determines in good faith to be 100% of the fair market value of such a share as of the date in question. Notwithstanding the foregoing:</w:t>
      </w:r>
    </w:p>
    <w:p>
      <w:pPr>
        <w:spacing w:after="0" w:line="176" w:lineRule="exact"/>
        <w:rPr>
          <w:sz w:val="20"/>
          <w:szCs w:val="20"/>
          <w:color w:val="auto"/>
        </w:rPr>
      </w:pPr>
    </w:p>
    <w:p>
      <w:pPr>
        <w:jc w:val="both"/>
        <w:ind w:left="640" w:firstLine="652"/>
        <w:spacing w:after="0" w:line="261" w:lineRule="auto"/>
        <w:tabs>
          <w:tab w:leader="none" w:pos="22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listed on a U.S. securities exchange, then Fair Market Value shall be determined by reference to the last sale price of a share of Common Stock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29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by a method consistently applied by the Committee.</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22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 and shall be consistently applied to Incentives under the Plan.</w:t>
      </w:r>
    </w:p>
    <w:p>
      <w:pPr>
        <w:spacing w:after="0" w:line="28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2" w:name="page53"/>
    <w:bookmarkEnd w:id="5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Definition of Grant Date</w:t>
      </w:r>
      <w:r>
        <w:rPr>
          <w:rFonts w:ascii="Times New Roman" w:cs="Times New Roman" w:eastAsia="Times New Roman" w:hAnsi="Times New Roman"/>
          <w:sz w:val="18"/>
          <w:szCs w:val="18"/>
          <w:color w:val="auto"/>
        </w:rPr>
        <w:t>. For purposes of this Plan, the “Grant Date” of an Incentive shall be the date on which the Committee approved the award or, if later, the date established by the Committee as the date of grant of the Incentive.</w:t>
      </w:r>
    </w:p>
    <w:p>
      <w:pPr>
        <w:spacing w:after="0" w:line="162"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52"/>
        <w:spacing w:after="0" w:line="256" w:lineRule="auto"/>
        <w:tabs>
          <w:tab w:leader="none" w:pos="2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such acceleration or deferral is permitted by the requirements of Code Section 409A, neither the Committee nor a participant may accelerate or defer the time or schedule of any payment of, or the amount scheduled to be paid under, an Incentive that constitutes Deferred Compensation (as defined in paragraph(d) below); provided, however, that payment shall be permitted if it is in accordance with a “specified time” or “fixed schedule” or on account of “separation from service,” “disability,” death, “change in control” or “ unforeseeable emergency” (as those terms are defined under Code Section 409A) that is specified in the agreement evidencing the Incentive.</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25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Plan, unless the agreement evidencing the Incentive specifically provides otherwise, if a participant is treated as a Specified Employee (as defined in paragraph (d) and as determined under Code Section 409A by the Committee in good faith) as of the date of his or her “separation from service” as defined for purposes of Code Section 409A, the Company may not make payment to the participant of any Incentive that constitutes Deferred Compensation, earlier than 6 months following the participant’s separation from service (or if earlier, upon the Specified Employee’s death), except as permitted under Code Section 409A. Any payments that otherwise would be payable to the Specified Employee during the foregoing 6-month period will be accumulated and payment delayed until the first date after the 6-month period. The Committee may specify in the Incentive agreement, that the amount of the Deferred Compensation delayed under this paragraph shall accumulate interest, earnings or Dividend Equivalents (as applicable) during the period of such delay.</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22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however, reform any provision in an Incentive that is intended to comply with (or be exempt from) Code Section 409A, to maintain to the maximum extent practicable the original intent of the applicable provision without violating the provisions of Code Section 409A.</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2" w:lineRule="auto"/>
        <w:tabs>
          <w:tab w:leader="none" w:pos="22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10.17, “Deferred Compensation” means any Incentive under this Plan that provides for the “deferral of compensation” under a “nonqualified deferred compensation plan” (as those terms are defined under Code Section 409A) and that would be subject to the taxes specified in Code Section 409A(a)(1) if and to the extent that the Plan and the agreement evidencing the Incentive do not meet or are not operated in compliance with the requirements of paragraphs (a)(2), (a)(3) and (a)(4) of Code Section 409A . Deferred Compensation shall not include any amount that is otherwise exempt from the requirements of Code Section 409A. A “Specified Employee” means a Participant who is a “key employee” as described in Code Section 416 (i) (disregarding paragraph (5) thereof) at any time during the Company’s fiscal year ending on January 31, or such other “identification date” that applies consistently for all plans of the Company that provide “deferred compensation” that is subject to the requirements of Code Section 409A. Each participant will be identified as a Specified Employee in accordance with Code Section 409A, including with respect to the merger of the Company with any other company or any spin-off or similar transaction, and such identification shall apply for the 12-month period commencing on the first day of the fourth month following the identification date. Notwithstanding the foregoing, no participant shall be a Specified Employee unless the stock of the Company (or other member of a “controlled group of corporations” as determined under Code Section 1563) is publicly traded on an established securities market (or otherwise) as of the date of the participant’s “separation from service” as defined in Code Section 409A.</w:t>
      </w:r>
    </w:p>
    <w:p>
      <w:pPr>
        <w:spacing w:after="0" w:line="3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Notwithstanding the adoption of this Plan by the Board of Directors and its approval by the shareholders, the Company’s 2008 Equity Incentive Plan, as it has been amended from time to time (the “Prior Plan”), shall remain in effect, and all grants and awards made under the Prior Plan shall be governed by the terms of the Prior Plan. From and after the Effective Date, no further grants and awards shall be made under the Prior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29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29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7886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78867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lvl w:ilvl="1">
      <w:lvlJc w:val="left"/>
      <w:lvlText w:val="(%2)"/>
      <w:numFmt w:val="lowerRoman"/>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3"/>
      <w:numFmt w:val="bullet"/>
      <w:start w:val="1"/>
    </w:lvl>
  </w:abstractNum>
  <w:abstractNum w:abstractNumId="30">
    <w:nsid w:val="5E884ADC"/>
    <w:multiLevelType w:val="hybridMultilevel"/>
    <w:lvl w:ilvl="0">
      <w:lvlJc w:val="left"/>
      <w:lvlText w:val="%1."/>
      <w:numFmt w:val="decimal"/>
      <w:start w:val="4"/>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5"/>
    </w:lvl>
  </w:abstractNum>
  <w:abstractNum w:abstractNumId="33">
    <w:nsid w:val="580BD78F"/>
    <w:multiLevelType w:val="hybridMultilevel"/>
    <w:lvl w:ilvl="0">
      <w:lvlJc w:val="left"/>
      <w:lvlText w:val="%1."/>
      <w:numFmt w:val="decimal"/>
      <w:start w:val="6"/>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decimal"/>
      <w:start w:val="7"/>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8"/>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decimal"/>
      <w:start w:val="9"/>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lowerLetter"/>
      <w:start w:val="4"/>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Letter"/>
      <w:start w:val="2"/>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2022-10-18T16:17:08Z</dcterms:created>
  <dcterms:modified xsi:type="dcterms:W3CDTF">2022-10-18T16:17:08Z</dcterms:modified>
</cp:coreProperties>
</file>