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gpu20260630_10q.htm"/>
      <w:bookmarkStart w:id="1" w:name="ksagpu20260630_10q"/>
      <w:bookmarkEnd w:id="0"/>
      <w:bookmarkEnd w:id="1"/>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4"/>
        </w:rPr>
      </w:pPr>
      <w:r>
        <w:rPr>
          <w:rFonts w:ascii="Times New Roman" w:hAnsi="Times New Roman"/>
          <w:b/>
          <w:smallCaps/>
          <w:sz w:val="24"/>
        </w:rPr>
        <w:t>FORM 10-Q</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quarterly period ended June 30,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_________________________ to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001-36790</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283"/>
              <w:jc w:val="left"/>
              <w:rPr/>
            </w:pPr>
            <w:r>
              <w:rPr/>
              <w:t> </w:t>
            </w:r>
          </w:p>
        </w:tc>
        <w:tc>
          <w:tcPr>
            <w:tcW w:w="4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Axe Compute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4100"/>
        <w:gridCol w:w="60"/>
        <w:gridCol w:w="1520"/>
      </w:tblGrid>
      <w:tr>
        <w:trPr/>
        <w:tc>
          <w:tcPr>
            <w:tcW w:w="4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33-1007393</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4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 43rd Street, Suite 110 Pittsburgh, Pennsylvania</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15201</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(412) 432-1500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1162"/>
        <w:gridCol w:w="4165"/>
        <w:gridCol w:w="1171"/>
      </w:tblGrid>
      <w:tr>
        <w:trPr/>
        <w:tc>
          <w:tcPr>
            <w:tcW w:w="1162" w:type="dxa"/>
            <w:tcBorders/>
            <w:vAlign w:val="center"/>
          </w:tcPr>
          <w:p>
            <w:pPr>
              <w:pStyle w:val="TableContents"/>
              <w:bidi w:val="0"/>
              <w:spacing w:before="0" w:after="283"/>
              <w:jc w:val="left"/>
              <w:rPr/>
            </w:pPr>
            <w:r>
              <w:rPr/>
              <w:t> </w:t>
            </w:r>
          </w:p>
        </w:tc>
        <w:tc>
          <w:tcPr>
            <w:tcW w:w="41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tc>
        <w:tc>
          <w:tcPr>
            <w:tcW w:w="1171" w:type="dxa"/>
            <w:tcBorders/>
            <w:vAlign w:val="center"/>
          </w:tcPr>
          <w:p>
            <w:pPr>
              <w:pStyle w:val="TableContents"/>
              <w:bidi w:val="0"/>
              <w:spacing w:before="0" w:after="283"/>
              <w:jc w:val="left"/>
              <w:rPr/>
            </w:pPr>
            <w:r>
              <w:rPr/>
              <w:t> </w:t>
            </w:r>
          </w:p>
        </w:tc>
      </w:tr>
      <w:tr>
        <w:trPr/>
        <w:tc>
          <w:tcPr>
            <w:tcW w:w="6498"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28" w:type="dxa"/>
          <w:bottom w:w="28" w:type="dxa"/>
          <w:right w:w="0" w:type="dxa"/>
        </w:tblCellMar>
      </w:tblPr>
      <w:tblGrid>
        <w:gridCol w:w="2615"/>
        <w:gridCol w:w="1535"/>
        <w:gridCol w:w="3590"/>
      </w:tblGrid>
      <w:tr>
        <w:trPr/>
        <w:tc>
          <w:tcPr>
            <w:tcW w:w="261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26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AGPU</w:t>
            </w:r>
          </w:p>
        </w:tc>
        <w:tc>
          <w:tcPr>
            <w:tcW w:w="35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13, 2026, the registrant had 11,591,124 shares of common stock, par value $0.01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795" w:type="dxa"/>
            <w:tcBorders/>
            <w:vAlign w:val="center"/>
          </w:tcPr>
          <w:p>
            <w:pPr>
              <w:pStyle w:val="TableContents"/>
              <w:bidi w:val="0"/>
              <w:spacing w:before="0" w:after="0"/>
              <w:ind w:left="0" w:right="0" w:hanging="0"/>
              <w:jc w:val="both"/>
              <w:rPr/>
            </w:pPr>
            <w:hyperlink w:anchor="p1">
              <w:r>
                <w:rPr>
                  <w:rStyle w:val="InternetLink"/>
                  <w:rFonts w:ascii="Times New Roman" w:hAnsi="Times New Roman"/>
                  <w:caps w:val="false"/>
                  <w:smallCaps w:val="false"/>
                  <w:sz w:val="20"/>
                  <w:u w:val="single"/>
                </w:rPr>
                <w:t>PART I. FINANCIAL INFORMATION</w:t>
              </w:r>
            </w:hyperlink>
          </w:p>
        </w:tc>
        <w:tc>
          <w:tcPr>
            <w:tcW w:w="410" w:type="dxa"/>
            <w:tcBorders/>
            <w:vAlign w:val="center"/>
          </w:tcPr>
          <w:p>
            <w:pPr>
              <w:pStyle w:val="TableContents"/>
              <w:bidi w:val="0"/>
              <w:spacing w:before="0" w:after="283"/>
              <w:jc w:val="center"/>
              <w:rPr/>
            </w:pPr>
            <w:hyperlink w:anchor="p1">
              <w:r>
                <w:rPr>
                  <w:rStyle w:val="InternetLink"/>
                </w:rPr>
                <w:t>4</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1">
              <w:r>
                <w:rPr>
                  <w:rStyle w:val="InternetLink"/>
                  <w:rFonts w:ascii="Times New Roman" w:hAnsi="Times New Roman"/>
                  <w:caps w:val="false"/>
                  <w:smallCaps w:val="false"/>
                  <w:sz w:val="20"/>
                  <w:u w:val="single"/>
                </w:rPr>
                <w:t>ITEM 1. UNAUDITED CONDENSED CONSOLIDATED FINANCIAL STATEMENTS</w:t>
              </w:r>
            </w:hyperlink>
          </w:p>
        </w:tc>
        <w:tc>
          <w:tcPr>
            <w:tcW w:w="410" w:type="dxa"/>
            <w:tcBorders/>
            <w:vAlign w:val="center"/>
          </w:tcPr>
          <w:p>
            <w:pPr>
              <w:pStyle w:val="TableContents"/>
              <w:bidi w:val="0"/>
              <w:spacing w:before="0" w:after="283"/>
              <w:jc w:val="center"/>
              <w:rPr/>
            </w:pPr>
            <w:hyperlink w:anchor="p1i1">
              <w:r>
                <w:rPr>
                  <w:rStyle w:val="InternetLink"/>
                </w:rPr>
                <w:t>5</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CONDENSED_CONSOLIDATED_BALANCE_SHEETS">
              <w:r>
                <w:rPr>
                  <w:rStyle w:val="InternetLink"/>
                  <w:rFonts w:ascii="Times New Roman" w:hAnsi="Times New Roman"/>
                  <w:caps w:val="false"/>
                  <w:smallCaps w:val="false"/>
                  <w:sz w:val="20"/>
                  <w:u w:val="single"/>
                </w:rPr>
                <w:t>CONDENSED CONSOLIDATED BALANCE SHEETS AS OF JUNE 30, 2026 AND DECEMBER 31, 2025</w:t>
              </w:r>
            </w:hyperlink>
          </w:p>
        </w:tc>
        <w:tc>
          <w:tcPr>
            <w:tcW w:w="410" w:type="dxa"/>
            <w:tcBorders/>
            <w:vAlign w:val="center"/>
          </w:tcPr>
          <w:p>
            <w:pPr>
              <w:pStyle w:val="TableContents"/>
              <w:bidi w:val="0"/>
              <w:spacing w:before="0" w:after="0"/>
              <w:ind w:left="0" w:right="0" w:hanging="0"/>
              <w:jc w:val="center"/>
              <w:rPr/>
            </w:pPr>
            <w:hyperlink w:anchor="CONDENSED_CONSOLIDATED_BALANCE_SHEETS">
              <w:r>
                <w:rPr>
                  <w:rStyle w:val="InternetLink"/>
                  <w:rFonts w:ascii="Times New Roman" w:hAnsi="Times New Roman"/>
                  <w:caps w:val="false"/>
                  <w:smallCaps w:val="false"/>
                  <w:sz w:val="20"/>
                </w:rPr>
                <w:t>5</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CONDENSED_CONSOLIDATED_STATEMENTS_OF_NET_LOSS">
              <w:r>
                <w:rPr>
                  <w:rStyle w:val="InternetLink"/>
                  <w:rFonts w:ascii="Times New Roman" w:hAnsi="Times New Roman"/>
                  <w:caps w:val="false"/>
                  <w:smallCaps w:val="false"/>
                  <w:sz w:val="20"/>
                  <w:u w:val="single"/>
                </w:rPr>
                <w:t>CONDENSED CONSOLIDATED STATEMENTS OF NET LOSS FOR THE THREE AND SIX MONTHS ENDED JUNE 30, 2026 AND 2025</w:t>
              </w:r>
            </w:hyperlink>
          </w:p>
        </w:tc>
        <w:tc>
          <w:tcPr>
            <w:tcW w:w="410" w:type="dxa"/>
            <w:tcBorders/>
            <w:vAlign w:val="center"/>
          </w:tcPr>
          <w:p>
            <w:pPr>
              <w:pStyle w:val="TableContents"/>
              <w:bidi w:val="0"/>
              <w:spacing w:before="0" w:after="0"/>
              <w:ind w:left="0" w:right="0" w:hanging="0"/>
              <w:jc w:val="center"/>
              <w:rPr/>
            </w:pPr>
            <w:hyperlink w:anchor="CONDENSED_CONSOLIDATED_STATEMENTS_OF_NET_LOSS">
              <w:r>
                <w:rPr>
                  <w:rStyle w:val="InternetLink"/>
                  <w:rFonts w:ascii="Times New Roman" w:hAnsi="Times New Roman"/>
                  <w:caps w:val="false"/>
                  <w:smallCaps w:val="false"/>
                  <w:sz w:val="20"/>
                </w:rPr>
                <w:t>6</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CONDENSED_CONSOLIDATED_STATEMENT_OF_STOCKHOLDERS_EQUITY_DEFICIT">
              <w:r>
                <w:rPr>
                  <w:rStyle w:val="InternetLink"/>
                  <w:rFonts w:ascii="Times New Roman" w:hAnsi="Times New Roman"/>
                  <w:caps w:val="false"/>
                  <w:smallCaps w:val="false"/>
                  <w:sz w:val="20"/>
                  <w:u w:val="single"/>
                </w:rPr>
                <w:t>CONDENSED CONSOLIDATED STATEMENTS OF STOCKHOLDERS’ EQUITY (DEFICIT) FOR THE THREE AND SIX MONTHS ENDED JUNE 30, 2026 AND 2025</w:t>
              </w:r>
            </w:hyperlink>
          </w:p>
        </w:tc>
        <w:tc>
          <w:tcPr>
            <w:tcW w:w="410" w:type="dxa"/>
            <w:tcBorders/>
            <w:vAlign w:val="center"/>
          </w:tcPr>
          <w:p>
            <w:pPr>
              <w:pStyle w:val="TableContents"/>
              <w:bidi w:val="0"/>
              <w:spacing w:before="0" w:after="0"/>
              <w:ind w:left="0" w:right="0" w:hanging="0"/>
              <w:jc w:val="center"/>
              <w:rPr/>
            </w:pPr>
            <w:hyperlink w:anchor="CONDENSED_CONSOLIDATED_STATEMENT_OF_STOCKHOLDERS_EQUITY_DEFICIT">
              <w:r>
                <w:rPr>
                  <w:rStyle w:val="InternetLink"/>
                  <w:rFonts w:ascii="Times New Roman" w:hAnsi="Times New Roman"/>
                  <w:caps w:val="false"/>
                  <w:smallCaps w:val="false"/>
                  <w:sz w:val="20"/>
                </w:rPr>
                <w:t>7</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CONDENSED_CONSOLIDATED_STATEMENTS_OF_CASH_FLOWS">
              <w:r>
                <w:rPr>
                  <w:rStyle w:val="InternetLink"/>
                  <w:rFonts w:ascii="Times New Roman" w:hAnsi="Times New Roman"/>
                  <w:caps w:val="false"/>
                  <w:smallCaps w:val="false"/>
                  <w:sz w:val="20"/>
                  <w:u w:val="single"/>
                </w:rPr>
                <w:t>CONDENSED CONSOLIDATED STATEMENTS OF CASH FLOWS FOR THE SIX MONTHS ENDED JUNE 30, 2026 AND 2025</w:t>
              </w:r>
            </w:hyperlink>
          </w:p>
        </w:tc>
        <w:tc>
          <w:tcPr>
            <w:tcW w:w="410" w:type="dxa"/>
            <w:tcBorders/>
            <w:vAlign w:val="center"/>
          </w:tcPr>
          <w:p>
            <w:pPr>
              <w:pStyle w:val="TableContents"/>
              <w:bidi w:val="0"/>
              <w:spacing w:before="0" w:after="0"/>
              <w:ind w:left="0" w:right="0" w:hanging="0"/>
              <w:jc w:val="center"/>
              <w:rPr/>
            </w:pPr>
            <w:hyperlink w:anchor="CONDENSED_CONSOLIDATED_STATEMENTS_OF_CASH_FLOWS">
              <w:r>
                <w:rPr>
                  <w:rStyle w:val="InternetLink"/>
                  <w:rFonts w:ascii="Times New Roman" w:hAnsi="Times New Roman"/>
                  <w:caps w:val="false"/>
                  <w:smallCaps w:val="false"/>
                  <w:sz w:val="20"/>
                </w:rPr>
                <w:t>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financial_notes">
              <w:r>
                <w:rPr>
                  <w:rStyle w:val="InternetLink"/>
                  <w:rFonts w:ascii="Times New Roman" w:hAnsi="Times New Roman"/>
                  <w:caps w:val="false"/>
                  <w:smallCaps w:val="false"/>
                  <w:sz w:val="20"/>
                  <w:u w:val="single"/>
                </w:rPr>
                <w:t>NOTES TO CONDENSED CONSOLIDATED FINANCIAL STATEMENTS</w:t>
              </w:r>
            </w:hyperlink>
          </w:p>
        </w:tc>
        <w:tc>
          <w:tcPr>
            <w:tcW w:w="410" w:type="dxa"/>
            <w:tcBorders/>
            <w:vAlign w:val="center"/>
          </w:tcPr>
          <w:p>
            <w:pPr>
              <w:pStyle w:val="TableContents"/>
              <w:bidi w:val="0"/>
              <w:spacing w:before="0" w:after="0"/>
              <w:ind w:left="0" w:right="0" w:hanging="0"/>
              <w:jc w:val="center"/>
              <w:rPr/>
            </w:pPr>
            <w:hyperlink w:anchor="financial_notes">
              <w:r>
                <w:rPr>
                  <w:rStyle w:val="InternetLink"/>
                  <w:rFonts w:ascii="Times New Roman" w:hAnsi="Times New Roman"/>
                  <w:caps w:val="false"/>
                  <w:smallCaps w:val="false"/>
                  <w:sz w:val="20"/>
                </w:rPr>
                <w:t>9</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2">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410" w:type="dxa"/>
            <w:tcBorders/>
            <w:vAlign w:val="center"/>
          </w:tcPr>
          <w:p>
            <w:pPr>
              <w:pStyle w:val="TableContents"/>
              <w:bidi w:val="0"/>
              <w:spacing w:before="0" w:after="0"/>
              <w:ind w:left="0" w:right="0" w:hanging="0"/>
              <w:jc w:val="center"/>
              <w:rPr/>
            </w:pPr>
            <w:hyperlink w:anchor="p1i2">
              <w:r>
                <w:rPr>
                  <w:rStyle w:val="InternetLink"/>
                  <w:rFonts w:ascii="Times New Roman" w:hAnsi="Times New Roman"/>
                  <w:caps w:val="false"/>
                  <w:smallCaps w:val="false"/>
                  <w:sz w:val="20"/>
                </w:rPr>
                <w:t>25</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1i3">
              <w:r>
                <w:rPr>
                  <w:rStyle w:val="InternetLink"/>
                  <w:rFonts w:ascii="Times New Roman" w:hAnsi="Times New Roman"/>
                  <w:caps w:val="false"/>
                  <w:smallCaps w:val="false"/>
                  <w:sz w:val="20"/>
                  <w:u w:val="single"/>
                </w:rPr>
                <w:t>ITEM 3. QUANTITATIVE AND QUALITATIVE DISCLOSURES ABOUT MARKET RISK</w:t>
              </w:r>
            </w:hyperlink>
          </w:p>
        </w:tc>
        <w:tc>
          <w:tcPr>
            <w:tcW w:w="410" w:type="dxa"/>
            <w:tcBorders/>
            <w:vAlign w:val="center"/>
          </w:tcPr>
          <w:p>
            <w:pPr>
              <w:pStyle w:val="TableContents"/>
              <w:bidi w:val="0"/>
              <w:spacing w:before="0" w:after="283"/>
              <w:jc w:val="center"/>
              <w:rPr/>
            </w:pPr>
            <w:hyperlink w:anchor="p1i3">
              <w:r>
                <w:rPr>
                  <w:rStyle w:val="InternetLink"/>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1i4">
              <w:r>
                <w:rPr>
                  <w:rStyle w:val="InternetLink"/>
                  <w:rFonts w:ascii="Times New Roman" w:hAnsi="Times New Roman"/>
                  <w:caps w:val="false"/>
                  <w:smallCaps w:val="false"/>
                  <w:sz w:val="20"/>
                  <w:u w:val="single"/>
                </w:rPr>
                <w:t>ITEM 4. CONTROLS AND PROCEDURES</w:t>
              </w:r>
            </w:hyperlink>
          </w:p>
        </w:tc>
        <w:tc>
          <w:tcPr>
            <w:tcW w:w="410" w:type="dxa"/>
            <w:tcBorders/>
            <w:vAlign w:val="center"/>
          </w:tcPr>
          <w:p>
            <w:pPr>
              <w:pStyle w:val="TableContents"/>
              <w:bidi w:val="0"/>
              <w:spacing w:before="0" w:after="283"/>
              <w:jc w:val="center"/>
              <w:rPr/>
            </w:pPr>
            <w:hyperlink w:anchor="p1i4">
              <w:r>
                <w:rPr>
                  <w:rStyle w:val="InternetLink"/>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0" w:right="0" w:hanging="0"/>
              <w:jc w:val="both"/>
              <w:rPr/>
            </w:pPr>
            <w:hyperlink w:anchor="p2">
              <w:r>
                <w:rPr>
                  <w:rStyle w:val="InternetLink"/>
                  <w:rFonts w:ascii="Times New Roman" w:hAnsi="Times New Roman"/>
                  <w:caps w:val="false"/>
                  <w:smallCaps w:val="false"/>
                  <w:sz w:val="20"/>
                  <w:u w:val="single"/>
                </w:rPr>
                <w:t>PART II. OTHER INFORMATION</w:t>
              </w:r>
            </w:hyperlink>
          </w:p>
        </w:tc>
        <w:tc>
          <w:tcPr>
            <w:tcW w:w="410" w:type="dxa"/>
            <w:tcBorders/>
            <w:vAlign w:val="center"/>
          </w:tcPr>
          <w:p>
            <w:pPr>
              <w:pStyle w:val="TableContents"/>
              <w:bidi w:val="0"/>
              <w:spacing w:before="0" w:after="283"/>
              <w:jc w:val="center"/>
              <w:rPr/>
            </w:pPr>
            <w:hyperlink w:anchor="p2">
              <w:r>
                <w:rPr>
                  <w:rStyle w:val="InternetLink"/>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1">
              <w:r>
                <w:rPr>
                  <w:rStyle w:val="InternetLink"/>
                  <w:rFonts w:ascii="Times New Roman" w:hAnsi="Times New Roman"/>
                  <w:caps w:val="false"/>
                  <w:smallCaps w:val="false"/>
                  <w:sz w:val="20"/>
                  <w:u w:val="single"/>
                </w:rPr>
                <w:t>ITEM 1. LEGAL PROCEEDINGS</w:t>
              </w:r>
            </w:hyperlink>
          </w:p>
        </w:tc>
        <w:tc>
          <w:tcPr>
            <w:tcW w:w="410" w:type="dxa"/>
            <w:tcBorders/>
            <w:vAlign w:val="center"/>
          </w:tcPr>
          <w:p>
            <w:pPr>
              <w:pStyle w:val="TableContents"/>
              <w:bidi w:val="0"/>
              <w:spacing w:before="0" w:after="283"/>
              <w:jc w:val="center"/>
              <w:rPr/>
            </w:pPr>
            <w:hyperlink w:anchor="p2i1">
              <w:r>
                <w:rPr>
                  <w:rStyle w:val="InternetLink"/>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1a">
              <w:r>
                <w:rPr>
                  <w:rStyle w:val="InternetLink"/>
                  <w:rFonts w:ascii="Times New Roman" w:hAnsi="Times New Roman"/>
                  <w:caps w:val="false"/>
                  <w:smallCaps w:val="false"/>
                  <w:sz w:val="20"/>
                  <w:u w:val="single"/>
                </w:rPr>
                <w:t>ITEM 1A. RISK FACTORS</w:t>
              </w:r>
            </w:hyperlink>
          </w:p>
        </w:tc>
        <w:tc>
          <w:tcPr>
            <w:tcW w:w="410" w:type="dxa"/>
            <w:tcBorders/>
            <w:vAlign w:val="center"/>
          </w:tcPr>
          <w:p>
            <w:pPr>
              <w:pStyle w:val="TableContents"/>
              <w:bidi w:val="0"/>
              <w:spacing w:before="0" w:after="283"/>
              <w:jc w:val="center"/>
              <w:rPr/>
            </w:pPr>
            <w:hyperlink w:anchor="p2i1a">
              <w:r>
                <w:rPr>
                  <w:rStyle w:val="InternetLink"/>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2">
              <w:r>
                <w:rPr>
                  <w:rStyle w:val="InternetLink"/>
                  <w:rFonts w:ascii="Times New Roman" w:hAnsi="Times New Roman"/>
                  <w:caps w:val="false"/>
                  <w:smallCaps w:val="false"/>
                  <w:sz w:val="20"/>
                  <w:u w:val="single"/>
                </w:rPr>
                <w:t>ITEM 2. UNREGISTERED SALES OF EQUITY SECURITIES AND USE OF PROCEEDS</w:t>
              </w:r>
            </w:hyperlink>
          </w:p>
        </w:tc>
        <w:tc>
          <w:tcPr>
            <w:tcW w:w="410" w:type="dxa"/>
            <w:tcBorders/>
            <w:vAlign w:val="center"/>
          </w:tcPr>
          <w:p>
            <w:pPr>
              <w:pStyle w:val="TableContents"/>
              <w:bidi w:val="0"/>
              <w:spacing w:before="0" w:after="283"/>
              <w:jc w:val="center"/>
              <w:rPr/>
            </w:pPr>
            <w:hyperlink w:anchor="p2i2">
              <w:r>
                <w:rPr>
                  <w:rStyle w:val="InternetLink"/>
                </w:rPr>
                <w:t>38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3">
              <w:r>
                <w:rPr>
                  <w:rStyle w:val="InternetLink"/>
                  <w:rFonts w:ascii="Times New Roman" w:hAnsi="Times New Roman"/>
                  <w:caps w:val="false"/>
                  <w:smallCaps w:val="false"/>
                  <w:sz w:val="20"/>
                  <w:u w:val="single"/>
                </w:rPr>
                <w:t>ITEM 3. DEFAULTS UPON SENIOR SECURITIES</w:t>
              </w:r>
            </w:hyperlink>
          </w:p>
        </w:tc>
        <w:tc>
          <w:tcPr>
            <w:tcW w:w="410" w:type="dxa"/>
            <w:tcBorders/>
            <w:vAlign w:val="center"/>
          </w:tcPr>
          <w:p>
            <w:pPr>
              <w:pStyle w:val="TableContents"/>
              <w:bidi w:val="0"/>
              <w:spacing w:before="0" w:after="283"/>
              <w:jc w:val="center"/>
              <w:rPr/>
            </w:pPr>
            <w:hyperlink w:anchor="p2i3">
              <w:r>
                <w:rPr>
                  <w:rStyle w:val="InternetLink"/>
                </w:rPr>
                <w:t>38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4">
              <w:r>
                <w:rPr>
                  <w:rStyle w:val="InternetLink"/>
                  <w:rFonts w:ascii="Times New Roman" w:hAnsi="Times New Roman"/>
                  <w:caps w:val="false"/>
                  <w:smallCaps w:val="false"/>
                  <w:sz w:val="20"/>
                  <w:u w:val="single"/>
                </w:rPr>
                <w:t>ITEM 4. MINE SAFETY DISCLOSURES</w:t>
              </w:r>
            </w:hyperlink>
          </w:p>
        </w:tc>
        <w:tc>
          <w:tcPr>
            <w:tcW w:w="410" w:type="dxa"/>
            <w:tcBorders/>
            <w:vAlign w:val="center"/>
          </w:tcPr>
          <w:p>
            <w:pPr>
              <w:pStyle w:val="TableContents"/>
              <w:bidi w:val="0"/>
              <w:spacing w:before="0" w:after="283"/>
              <w:jc w:val="center"/>
              <w:rPr/>
            </w:pPr>
            <w:hyperlink w:anchor="p2i4">
              <w:r>
                <w:rPr>
                  <w:rStyle w:val="InternetLink"/>
                </w:rPr>
                <w:t>38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5">
              <w:r>
                <w:rPr>
                  <w:rStyle w:val="InternetLink"/>
                  <w:rFonts w:ascii="Times New Roman" w:hAnsi="Times New Roman"/>
                  <w:caps w:val="false"/>
                  <w:smallCaps w:val="false"/>
                  <w:sz w:val="20"/>
                  <w:u w:val="single"/>
                </w:rPr>
                <w:t>ITEM 5. OTHER INFORMATION</w:t>
              </w:r>
            </w:hyperlink>
          </w:p>
        </w:tc>
        <w:tc>
          <w:tcPr>
            <w:tcW w:w="410" w:type="dxa"/>
            <w:tcBorders/>
            <w:vAlign w:val="center"/>
          </w:tcPr>
          <w:p>
            <w:pPr>
              <w:pStyle w:val="TableContents"/>
              <w:bidi w:val="0"/>
              <w:spacing w:before="0" w:after="283"/>
              <w:jc w:val="center"/>
              <w:rPr/>
            </w:pPr>
            <w:hyperlink w:anchor="p2i5">
              <w:r>
                <w:rPr>
                  <w:rStyle w:val="InternetLink"/>
                </w:rPr>
                <w:t>38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720" w:right="0" w:hanging="0"/>
              <w:jc w:val="both"/>
              <w:rPr/>
            </w:pPr>
            <w:hyperlink w:anchor="p2i6">
              <w:r>
                <w:rPr>
                  <w:rStyle w:val="InternetLink"/>
                  <w:rFonts w:ascii="Times New Roman" w:hAnsi="Times New Roman"/>
                  <w:caps w:val="false"/>
                  <w:smallCaps w:val="false"/>
                  <w:sz w:val="20"/>
                  <w:u w:val="single"/>
                </w:rPr>
                <w:t>ITEM 6. EXHIBITS</w:t>
              </w:r>
            </w:hyperlink>
          </w:p>
        </w:tc>
        <w:tc>
          <w:tcPr>
            <w:tcW w:w="410" w:type="dxa"/>
            <w:tcBorders/>
            <w:vAlign w:val="center"/>
          </w:tcPr>
          <w:p>
            <w:pPr>
              <w:pStyle w:val="TableContents"/>
              <w:bidi w:val="0"/>
              <w:spacing w:before="0" w:after="283"/>
              <w:jc w:val="center"/>
              <w:rPr/>
            </w:pPr>
            <w:hyperlink w:anchor="p2i6">
              <w:r>
                <w:rPr>
                  <w:rStyle w:val="InternetLink"/>
                </w:rPr>
                <w:t>38</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795" w:type="dxa"/>
            <w:tcBorders/>
            <w:vAlign w:val="center"/>
          </w:tcPr>
          <w:p>
            <w:pPr>
              <w:pStyle w:val="TableContents"/>
              <w:bidi w:val="0"/>
              <w:spacing w:before="0" w:after="0"/>
              <w:ind w:left="0" w:right="0" w:hanging="0"/>
              <w:jc w:val="both"/>
              <w:rPr/>
            </w:pPr>
            <w:hyperlink w:anchor="SIGNATURES">
              <w:r>
                <w:rPr>
                  <w:rStyle w:val="InternetLink"/>
                  <w:rFonts w:ascii="Times New Roman" w:hAnsi="Times New Roman"/>
                  <w:caps w:val="false"/>
                  <w:smallCaps w:val="false"/>
                  <w:sz w:val="20"/>
                  <w:u w:val="single"/>
                </w:rPr>
                <w:t>SIGNATURES</w:t>
              </w:r>
            </w:hyperlink>
          </w:p>
        </w:tc>
        <w:tc>
          <w:tcPr>
            <w:tcW w:w="410" w:type="dxa"/>
            <w:tcBorders/>
            <w:vAlign w:val="center"/>
          </w:tcPr>
          <w:p>
            <w:pPr>
              <w:pStyle w:val="TableContents"/>
              <w:bidi w:val="0"/>
              <w:spacing w:before="0" w:after="283"/>
              <w:jc w:val="center"/>
              <w:rPr/>
            </w:pPr>
            <w:hyperlink w:anchor="SIGNATURES">
              <w:r>
                <w:rPr>
                  <w:rStyle w:val="InternetLink"/>
                </w:rPr>
                <w:t>39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PART I. FINANCIAL INFORMATION</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historical information, certain information in this Quarterly Report on Form 10-Q includes forward-looking statements within the meaning of Section 27A of the Securities Act of 1933, as amended ("Securities Act") and Section 21E of the Securities Exchange Act of 1934, as amended ("Exchange Act"). All statements, other than statements of historical facts, including statements concerning our plans, objectives, goals, beliefs, business strategies, future events, business conditions, our results of operations, financial position and our business outlook, business trends and other information, may be forward-looking statements. You can identify these forward-looking statements by the words "believes," "intends," "expects," “might,” "may," "will," "should," "plans," "projects," "contemplates," "intends," "budgets," “potential,” "predicts," "estimates," "anticipates," “future,” “goal,” and variations of such words or similar expressions. These statements are based on our beliefs, as well as assumptions we have used based upon information currently available to us. Because these statements reflect our current views concerning future events, these statements involve risks, uncertainties, and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future results may differ materially from what is expressed in or indicated by the forward-looking statements. Factors that might cause such differences include, but are not limited to, those discussed in Part I, Item 1A, under the heading “Risk Factors,” in our Annual Report on Form 10-K for the year ended December 31, 2025, filed with the Securities and Exchange Commission (“SEC”) on March 31, 2026, and under “Part II, Item 1A., Risk Factors” in this Quarterly Report on Form 10-Q, if and as such risk factors may be updated from time to time in our periodic filings with the SEC. We may not actually achieve the plans, intentions or expectations disclosed in our forward-looking statements, and a reader, whether investing in our common stock or not, should not place undue reliance on these forward-looking statements. Our forward-looking statements do not reflect the potential impact of any future acquisitions, mergers, dispositions, joint ventures or investments.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Quarterly Report on Form 10-Q apply only as of the date of this Quarterly Report on Form 10-Q or as of the date they were made or as otherwise specified herein. We assume no obligation to revise or update any forward-looking statements for any reason,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 CONDENSED CONSOLIDATED FINANCIAL STATEMENTS</w:t>
      </w:r>
      <w:bookmarkStart w:id="3" w:name="p1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AXE COMPUTE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4" w:name="CONDENSED_CONSOLIDATED_BALANCE_SHEETS"/>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125"/>
        <w:gridCol w:w="1115"/>
        <w:gridCol w:w="80"/>
        <w:gridCol w:w="60"/>
        <w:gridCol w:w="125"/>
        <w:gridCol w:w="1115"/>
        <w:gridCol w:w="80"/>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21,905,767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10,790,850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32,120</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 prepayments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11,148,981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72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 and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280,904</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11,268,342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24,439,598</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receivable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7,547,221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7,226,475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56,065,160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42,769,947</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 prepayments,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22,946,761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receivable,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8,258,681</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223,128</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1,487,703</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100,375,956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52,888,346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1,840,608</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107,951</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1,520,518</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33,645,987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144,076</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38,686,908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4,266,896</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27,108,685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72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904,495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66,330,761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5,171,391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20,000,000 shares authorized inclusive of designated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Convertible Preferred Stock, $.01 par value, 2,300,000 shares authorized, 79,246 shares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200,000,000 shares authorized, 11,384,940 and 4,083,173 shares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40,832</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472,366,853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461,196,805</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(438,436,299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(413,521,474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34,045,195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47,716,955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100,375,956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52,888,346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AXE COMPUTE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NET LOSS</w:t>
      </w:r>
      <w:bookmarkStart w:id="5" w:name="CONDENSED_CONSOLIDATED_STATEMENTS_OF_NET"/>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5"/>
        <w:gridCol w:w="60"/>
        <w:gridCol w:w="125"/>
        <w:gridCol w:w="1010"/>
        <w:gridCol w:w="80"/>
        <w:gridCol w:w="60"/>
        <w:gridCol w:w="125"/>
        <w:gridCol w:w="905"/>
        <w:gridCol w:w="80"/>
        <w:gridCol w:w="60"/>
        <w:gridCol w:w="125"/>
        <w:gridCol w:w="1010"/>
        <w:gridCol w:w="80"/>
        <w:gridCol w:w="60"/>
        <w:gridCol w:w="125"/>
        <w:gridCol w:w="905"/>
        <w:gridCol w:w="8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112,992</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(losses) on 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63,339</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3,703,855</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1,020,121</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1,176,162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7,417,650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2,662,550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10,885,374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5,059,907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(17,328,010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(25,056,691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685,852</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(1,978,896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72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72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computation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19,685,811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17,167,696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8,136,008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AXE COMPUTE INC.</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CONDENSED CONSOLIDATED STATEMENT OF STOCKHOLDERS</w:t>
      </w:r>
      <w:r>
        <w:rPr>
          <w:rFonts w:ascii="Times New Roman" w:hAnsi="Times New Roman"/>
          <w:smallCaps/>
          <w:sz w:val="20"/>
        </w:rPr>
        <w:t xml:space="preserve">’ </w:t>
      </w:r>
      <w:r>
        <w:rPr>
          <w:rFonts w:ascii="Times New Roman" w:hAnsi="Times New Roman"/>
          <w:b/>
          <w:smallCaps/>
          <w:sz w:val="20"/>
        </w:rPr>
        <w:t>EQUITY (DEFICIT)</w:t>
      </w:r>
      <w:bookmarkStart w:id="6" w:name="CONDENSED_CONSOLIDATED_STATEMENT_OF_STOC"/>
      <w:bookmarkEnd w:id="6"/>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SIX MONTHS ENDED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3"/>
        <w:gridCol w:w="60"/>
        <w:gridCol w:w="63"/>
        <w:gridCol w:w="627"/>
        <w:gridCol w:w="63"/>
        <w:gridCol w:w="63"/>
        <w:gridCol w:w="188"/>
        <w:gridCol w:w="507"/>
        <w:gridCol w:w="60"/>
        <w:gridCol w:w="60"/>
        <w:gridCol w:w="60"/>
        <w:gridCol w:w="950"/>
        <w:gridCol w:w="60"/>
        <w:gridCol w:w="60"/>
        <w:gridCol w:w="125"/>
        <w:gridCol w:w="695"/>
        <w:gridCol w:w="60"/>
        <w:gridCol w:w="60"/>
        <w:gridCol w:w="134"/>
        <w:gridCol w:w="1138"/>
        <w:gridCol w:w="80"/>
        <w:gridCol w:w="60"/>
        <w:gridCol w:w="125"/>
        <w:gridCol w:w="1115"/>
        <w:gridCol w:w="80"/>
        <w:gridCol w:w="60"/>
        <w:gridCol w:w="125"/>
        <w:gridCol w:w="1010"/>
        <w:gridCol w:w="84"/>
      </w:tblGrid>
      <w:tr>
        <w:trPr/>
        <w:tc>
          <w:tcPr>
            <w:tcW w:w="2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2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461,196,805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(413,521,474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47,716,955</w:t>
            </w:r>
          </w:p>
        </w:tc>
        <w:tc>
          <w:tcPr>
            <w:tcW w:w="84" w:type="dxa"/>
            <w:tcBorders/>
            <w:shd w:fill="CCEEFF" w:val="clear"/>
            <w:vAlign w:val="center"/>
          </w:tcPr>
          <w:p>
            <w:pPr>
              <w:pStyle w:val="TableContents"/>
              <w:bidi w:val="0"/>
              <w:spacing w:before="0" w:after="283"/>
              <w:jc w:val="left"/>
              <w:rPr/>
            </w:pPr>
            <w:r>
              <w:rPr/>
              <w:t> </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related to instruments granted to employees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111,358</w:t>
            </w:r>
          </w:p>
        </w:tc>
        <w:tc>
          <w:tcPr>
            <w:tcW w:w="84" w:type="dxa"/>
            <w:tcBorders/>
            <w:shd w:fill="FFFFFF" w:val="clear"/>
            <w:vAlign w:val="center"/>
          </w:tcPr>
          <w:p>
            <w:pPr>
              <w:pStyle w:val="TableContents"/>
              <w:bidi w:val="0"/>
              <w:spacing w:before="0" w:after="283"/>
              <w:jc w:val="left"/>
              <w:rPr/>
            </w:pPr>
            <w:r>
              <w:rPr/>
              <w:t> </w:t>
            </w:r>
          </w:p>
        </w:tc>
      </w:tr>
      <w:tr>
        <w:trPr/>
        <w:tc>
          <w:tcPr>
            <w:tcW w:w="243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in connection with restricted stock units vesting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168,833</w:t>
            </w:r>
          </w:p>
        </w:tc>
        <w:tc>
          <w:tcPr>
            <w:tcW w:w="84" w:type="dxa"/>
            <w:tcBorders/>
            <w:shd w:fill="FFFFFF" w:val="clear"/>
            <w:vAlign w:val="center"/>
          </w:tcPr>
          <w:p>
            <w:pPr>
              <w:pStyle w:val="TableContents"/>
              <w:bidi w:val="0"/>
              <w:spacing w:before="0" w:after="283"/>
              <w:jc w:val="left"/>
              <w:rPr/>
            </w:pPr>
            <w:r>
              <w:rPr/>
              <w:t> </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pre-funded warrant exercises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283"/>
              <w:jc w:val="left"/>
              <w:rPr/>
            </w:pPr>
            <w:r>
              <w:rPr/>
              <w:t> </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(7,708,943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(7,708,943</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5,539,267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461,444,992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(421,230,417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40,270,761</w:t>
            </w:r>
          </w:p>
        </w:tc>
        <w:tc>
          <w:tcPr>
            <w:tcW w:w="84" w:type="dxa"/>
            <w:tcBorders/>
            <w:shd w:fill="CCEEFF" w:val="clear"/>
            <w:vAlign w:val="center"/>
          </w:tcPr>
          <w:p>
            <w:pPr>
              <w:pStyle w:val="TableContents"/>
              <w:bidi w:val="0"/>
              <w:spacing w:before="0" w:after="283"/>
              <w:jc w:val="left"/>
              <w:rPr/>
            </w:pPr>
            <w:r>
              <w:rPr/>
              <w:t> </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related to instruments granted to employees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571,584</w:t>
            </w:r>
          </w:p>
        </w:tc>
        <w:tc>
          <w:tcPr>
            <w:tcW w:w="84" w:type="dxa"/>
            <w:tcBorders/>
            <w:shd w:fill="FFFFFF" w:val="clear"/>
            <w:vAlign w:val="center"/>
          </w:tcPr>
          <w:p>
            <w:pPr>
              <w:pStyle w:val="TableContents"/>
              <w:bidi w:val="0"/>
              <w:spacing w:before="0" w:after="283"/>
              <w:jc w:val="left"/>
              <w:rPr/>
            </w:pPr>
            <w:r>
              <w:rPr/>
              <w:t> </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10,325,486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10,336,124</w:t>
            </w:r>
          </w:p>
        </w:tc>
        <w:tc>
          <w:tcPr>
            <w:tcW w:w="84" w:type="dxa"/>
            <w:tcBorders/>
            <w:shd w:fill="CCEEFF" w:val="clear"/>
            <w:vAlign w:val="center"/>
          </w:tcPr>
          <w:p>
            <w:pPr>
              <w:pStyle w:val="TableContents"/>
              <w:bidi w:val="0"/>
              <w:spacing w:before="0" w:after="283"/>
              <w:jc w:val="left"/>
              <w:rPr/>
            </w:pPr>
            <w:r>
              <w:rPr/>
              <w:t> </w:t>
            </w:r>
          </w:p>
        </w:tc>
      </w:tr>
      <w:tr>
        <w:trPr/>
        <w:tc>
          <w:tcPr>
            <w:tcW w:w="243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in connection with restricted stock units vesting</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(56,677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129,285</w:t>
            </w:r>
          </w:p>
        </w:tc>
        <w:tc>
          <w:tcPr>
            <w:tcW w:w="84" w:type="dxa"/>
            <w:tcBorders/>
            <w:shd w:fill="CCEEFF" w:val="clear"/>
            <w:vAlign w:val="center"/>
          </w:tcPr>
          <w:p>
            <w:pPr>
              <w:pStyle w:val="TableContents"/>
              <w:bidi w:val="0"/>
              <w:spacing w:before="0" w:after="283"/>
              <w:jc w:val="left"/>
              <w:rPr/>
            </w:pPr>
            <w:r>
              <w:rPr/>
              <w:t> </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pre-funded warrant exercises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11,384,940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472,366,853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(438,436,299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34,045,195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8"/>
        <w:gridCol w:w="60"/>
        <w:gridCol w:w="65"/>
        <w:gridCol w:w="643"/>
        <w:gridCol w:w="65"/>
        <w:gridCol w:w="65"/>
        <w:gridCol w:w="188"/>
        <w:gridCol w:w="507"/>
        <w:gridCol w:w="60"/>
        <w:gridCol w:w="60"/>
        <w:gridCol w:w="60"/>
        <w:gridCol w:w="695"/>
        <w:gridCol w:w="60"/>
        <w:gridCol w:w="60"/>
        <w:gridCol w:w="142"/>
        <w:gridCol w:w="553"/>
        <w:gridCol w:w="60"/>
        <w:gridCol w:w="60"/>
        <w:gridCol w:w="138"/>
        <w:gridCol w:w="1173"/>
        <w:gridCol w:w="60"/>
        <w:gridCol w:w="60"/>
        <w:gridCol w:w="125"/>
        <w:gridCol w:w="1115"/>
        <w:gridCol w:w="80"/>
        <w:gridCol w:w="60"/>
        <w:gridCol w:w="125"/>
        <w:gridCol w:w="905"/>
        <w:gridCol w:w="83"/>
      </w:tblGrid>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180,218,424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(180,426,271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(202,610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warrant exercises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1,534,382</w:t>
            </w:r>
          </w:p>
        </w:tc>
        <w:tc>
          <w:tcPr>
            <w:tcW w:w="83" w:type="dxa"/>
            <w:tcBorders/>
            <w:shd w:fill="FFFFFF" w:val="clear"/>
            <w:vAlign w:val="center"/>
          </w:tcPr>
          <w:p>
            <w:pPr>
              <w:pStyle w:val="TableContents"/>
              <w:bidi w:val="0"/>
              <w:spacing w:before="0" w:after="283"/>
              <w:jc w:val="left"/>
              <w:rPr/>
            </w:pPr>
            <w:r>
              <w:rPr/>
              <w:t> </w:t>
            </w:r>
          </w:p>
        </w:tc>
      </w:tr>
      <w:tr>
        <w:trPr/>
        <w:tc>
          <w:tcPr>
            <w:tcW w:w="287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Registered Direct Offering, net of issuance costs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465,305</w:t>
            </w:r>
          </w:p>
        </w:tc>
        <w:tc>
          <w:tcPr>
            <w:tcW w:w="83" w:type="dxa"/>
            <w:tcBorders/>
            <w:shd w:fill="CCEEFF"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Renovaro Extension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83" w:type="dxa"/>
            <w:tcBorders/>
            <w:shd w:fill="FFFFFF" w:val="clear"/>
            <w:vAlign w:val="center"/>
          </w:tcPr>
          <w:p>
            <w:pPr>
              <w:pStyle w:val="TableContents"/>
              <w:bidi w:val="0"/>
              <w:spacing w:before="0" w:after="283"/>
              <w:jc w:val="left"/>
              <w:rPr/>
            </w:pPr>
            <w:r>
              <w:rPr/>
              <w:t> </w:t>
            </w:r>
          </w:p>
        </w:tc>
      </w:tr>
      <w:tr>
        <w:trPr/>
        <w:tc>
          <w:tcPr>
            <w:tcW w:w="2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(2,442,873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(2,442,873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182,716,601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(182,869,144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(145,796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May 2025 private placement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83" w:type="dxa"/>
            <w:tcBorders/>
            <w:shd w:fill="CCEEFF"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162,860</w:t>
            </w:r>
          </w:p>
        </w:tc>
        <w:tc>
          <w:tcPr>
            <w:tcW w:w="83" w:type="dxa"/>
            <w:tcBorders/>
            <w:shd w:fill="FFFFFF" w:val="clear"/>
            <w:vAlign w:val="center"/>
          </w:tcPr>
          <w:p>
            <w:pPr>
              <w:pStyle w:val="TableContents"/>
              <w:bidi w:val="0"/>
              <w:spacing w:before="0" w:after="283"/>
              <w:jc w:val="left"/>
              <w:rPr/>
            </w:pPr>
            <w:r>
              <w:rPr/>
              <w:t> </w:t>
            </w:r>
          </w:p>
        </w:tc>
      </w:tr>
      <w:tr>
        <w:trPr/>
        <w:tc>
          <w:tcPr>
            <w:tcW w:w="28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3" w:type="dxa"/>
            <w:tcBorders/>
            <w:shd w:fill="CCEEFF"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639,798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183,279,017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(184,939,606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(1,653,398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AXE COMPUTE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bookmarkStart w:id="7" w:name="CONDENSED_CONSOLIDATED_STATEMENTS_OF_CAS"/>
      <w:bookmarkEnd w:id="7"/>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8900" w:type="dxa"/>
        <w:jc w:val="left"/>
        <w:tblInd w:w="0" w:type="dxa"/>
        <w:tblLayout w:type="fixed"/>
        <w:tblCellMar>
          <w:top w:w="0" w:type="dxa"/>
          <w:left w:w="0" w:type="dxa"/>
          <w:bottom w:w="0" w:type="dxa"/>
          <w:right w:w="0" w:type="dxa"/>
        </w:tblCellMar>
      </w:tblPr>
      <w:tblGrid>
        <w:gridCol w:w="6455"/>
        <w:gridCol w:w="60"/>
        <w:gridCol w:w="125"/>
        <w:gridCol w:w="1010"/>
        <w:gridCol w:w="80"/>
        <w:gridCol w:w="60"/>
        <w:gridCol w:w="125"/>
        <w:gridCol w:w="905"/>
        <w:gridCol w:w="80"/>
      </w:tblGrid>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Six Months Ended</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(4,513,335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(loss) from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65,222</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271,099</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 off of accounts payable and related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66,667</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booking compute using 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Losses on digital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11,197</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 prepayments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(34,095,742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511,791</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371,361</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60,610,596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continuing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17,370,239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(4,280,632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(17,121,106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continuing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(17,121,106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10,844,932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3,165,365</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to issue common stock and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taxes related to net share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financing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264,048</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continuing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10,865,784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3,226,593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200,444</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625,000</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825,444</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11,114,917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continuing operations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10,790,850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611,822</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discontinued operations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122,851</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Cash from discontinued operations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continuing operations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21,905,767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for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issued as prepayment for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33,333</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transfer from prepaid to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vested RSUs, net of shares withheld for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loss on digital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AXE COMPUTE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bookmarkStart w:id="8" w:name="financial_notes"/>
      <w:bookmarkEnd w:id="8"/>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 </w:t>
      </w:r>
      <w:r>
        <w:rPr>
          <w:rFonts w:ascii="Times New Roman" w:hAnsi="Times New Roman"/>
          <w:smallCaps/>
          <w:sz w:val="20"/>
        </w:rPr>
        <w:t xml:space="preserve">– </w:t>
      </w:r>
      <w:r>
        <w:rPr>
          <w:rFonts w:ascii="Times New Roman" w:hAnsi="Times New Roman"/>
          <w:b/>
          <w:smallCaps/>
          <w:sz w:val="20"/>
        </w:rPr>
        <w:t>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The Company assists customers across the full GPU infrastructure stack, including hardware procurement, colocation, networking, storage, and financing, and can immediately access compute capacity through relationships with third party compute providers to provide customers compute capacity that is already online and available for rent. The Company also continues to evaluate strategic alternatives for its legacy oncology drug discovery business (the “Legacy Business”), including its proprietary biobank of tumor samples and historical drug response data, which is not part of the Company’s core compute infrastructure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Compute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revenue-generating activity is the provision of GPU compute to customers. The Company primarily provides compute services under two customer models: (1) designing and deploying customized, large scale compute infrastructure solutions for enterprise clients; and (2) providing immediate access to GPU capacity (in as little as 24-48 hours) that is already online and available for rent from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customers seeking large-scale, long-duration GPU compute capacity, the Company builds and deploys dedicated compute infrastructure solutions. Under this model, customers contract for dedicated AI infrastructure tailored to their compute, performance, geographic, security, and operational requirements. The Company coordinates with customers to architect deployments that may include GPU compute, high-speed storage, networking, power infrastructure, and related managed services. Deployments are typically hosted in enterprise-grade data center facilities and are operated by the Company pursuant to service level commitments. The Company intends to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customers that need immediate access to GPU compute capacity, the Company provides access to high-performance GPU compute infrastructure. Our access to third-party networks encompasses global locations and GPUs capable of supporting a broad range of artificial intelligence, machine learning, and high-performance computing workloads. Compute capacity is delivered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Drug Discovery Services / Legacy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of compute services is the priority of the Company and remains its focus. The Company also maintains its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However, as of the date of this Quarterly Report on Form 10-Q, the Company’s Board of Directors has not yet committed to a specific course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further discussion of the Company’s operating segments as of and for the six months ended June 30, 2026, see </w:t>
      </w:r>
      <w:r>
        <w:rPr>
          <w:rFonts w:ascii="Times New Roman" w:hAnsi="Times New Roman"/>
          <w:i/>
          <w:caps w:val="false"/>
          <w:smallCaps w:val="false"/>
          <w:sz w:val="20"/>
        </w:rPr>
        <w:t xml:space="preserve">Note 14 </w:t>
      </w:r>
      <w:r>
        <w:rPr>
          <w:rFonts w:ascii="Times New Roman" w:hAnsi="Times New Roman"/>
          <w:caps w:val="false"/>
          <w:smallCaps w:val="false"/>
          <w:sz w:val="20"/>
        </w:rPr>
        <w:t xml:space="preserve">– </w:t>
      </w:r>
      <w:r>
        <w:rPr>
          <w:rFonts w:ascii="Times New Roman" w:hAnsi="Times New Roman"/>
          <w:i/>
          <w:caps w:val="false"/>
          <w:smallCaps w:val="false"/>
          <w:sz w:val="20"/>
        </w:rPr>
        <w:t>Segment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Compute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the Company adopted a treasury strategy centered on ATH, the native utility token of the Aethir network. Aethir is a decentralized physical infrastructure network developed by DCI Foundation, a Panama foundation company ("DCI"), that aggregates enterprise-grade GPU resources to support artificial intelligence, cloud gaming and other compute-intensive workloads. ATH functions as a proxy for a unit of GPU compute power and serves as the medium of exchange and incentive mechanism for participants in the Aethir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this strategy, the Company maintains a Strategic Compute Reserve comprised primarily of ATH, which provides the Company with immediate access to GPU compute capacity that can be deployed to customers. As a holder of ATH, the Company accrues unrealized gains or losses from any appreciation or depreciation, as applicable, in the value of ATH tokens, which trade on various cryptocurrency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seeks to generate value from its ATH holdings principally by utilizing ATH to procure GPU compute capacity on the Aethir network and reselling that capacity to enterprise, research and commercial customers. The Company has not engaged in ATH staking to date and does not currently intend to stake ATH, although it may elect to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Strategic Compute Reserve is intended to create value for stockholders through:</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Maintaining access to GPU compute capacity through ownership of ATH;</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Deploying ATH to acquire compute capacity and reselling that capacity to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Opportunistically purchasing ATH in the open market, including receiving additional ATH incentives under the DCI agreement;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 yield through lending arrangements and other approved treasury activities;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Holding ATH as a strategic reserve to support future compute demand; and</w:t>
            </w:r>
          </w:p>
        </w:tc>
      </w:tr>
    </w:tbl>
    <w:p>
      <w:pPr>
        <w:pStyle w:val="TextBody"/>
        <w:bidi w:val="0"/>
        <w:spacing w:before="0" w:after="0"/>
        <w:ind w:left="0" w:right="0" w:hanging="0"/>
        <w:jc w:val="left"/>
        <w:rPr/>
      </w:pPr>
      <w:r>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ATH from time to time to support working capital requirements, operational needs or other corporate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"Risks and Uncertainties" below for further discussion regarding risks related to the Company's Strategic Compute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Since the adoption of the Company’s treasury strategy based on ATH, the Company has raised capital through private investment in public equity (“PIPE”) transactions and at-the-market (“ATM”) sales of shares of common stock. Additional details regarding these equity offerings are included in </w:t>
      </w:r>
      <w:r>
        <w:rPr>
          <w:rFonts w:ascii="Times New Roman" w:hAnsi="Times New Roman"/>
          <w:i/>
          <w:caps w:val="false"/>
          <w:smallCaps w:val="false"/>
          <w:sz w:val="20"/>
        </w:rPr>
        <w:t xml:space="preserve">Note 11 </w:t>
      </w:r>
      <w:r>
        <w:rPr>
          <w:rFonts w:ascii="Times New Roman" w:hAnsi="Times New Roman"/>
          <w:caps w:val="false"/>
          <w:smallCaps w:val="false"/>
          <w:sz w:val="20"/>
        </w:rPr>
        <w:t xml:space="preserve">–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These capital raises have strengthened the Company’s liquidity position, and the $21.9 million of cash and cash equivalents remaining as of June 30, 2026, together with $11.3 million of digital assets, represent readily accessible sources of liquidity. The Company believes its sources of liquidity will be sufficient to allow the Company to fund its planned operations for at least the next twelve months from the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19, 2025, the Company’s stockholders approved an amendment to the Company’s certificate of incorporation, as amended, to effect a one-for-fifteen reverse stock split of the Company’s common stock. On September 29, 2025, the Company completed a one-for-fifteen reverse stock split that was effective for trading purposes on September 30, 2025 (the “Reverse Stock Split”). All numbers of shares and per-share amounts in this report have been adjusted to reflect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Reverse Stock Split, every 15 shares of issued and outstanding common stock were combined into one issued and outstanding share of common stock, without any change in the par value per share. No fractional shares were issued as a result of the Reverse Stock Split and any fractional shares that would otherwise have resulted from the Reverse Stock Split were rounded up to the nearest whole share. The Reverse Stock Split did not change the total number of authorized shares of common stock or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2 </w:t>
      </w:r>
      <w:r>
        <w:rPr>
          <w:rFonts w:ascii="Times New Roman" w:hAnsi="Times New Roman"/>
          <w:smallCaps/>
          <w:sz w:val="20"/>
        </w:rPr>
        <w:t xml:space="preserve">– </w:t>
      </w:r>
      <w:r>
        <w:rPr>
          <w:rFonts w:ascii="Times New Roman" w:hAnsi="Times New Roman"/>
          <w:b/>
          <w:smallCaps/>
          <w:sz w:val="20"/>
        </w:rPr>
        <w:t xml:space="preserve">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prepared the condensed consolidated financial statements and related unaudited financial information in the notes in accordance with GAAP and the rules and regulations of the Securities and Exchange Commission (“SEC”) for interim condensed consolidated financial statements. Accordingly, they do not include all of the information and footnotes required by U.S. GAAP for complete financial statements. These interim condensed consolidated financial statements reflect all adjustments consisting of normal recurring adjustments, which in the opinion of management, are necessary to present fairly the Company’s position, the results of its operations, and its cash flows for the interim periods. These interim condensed consolidated financial statements reflect all intercompany eliminations. These interim condensed consolidated financial statements should be read in conjunction with the annual consolidated financial statements and the notes thereto contained in the Annual Report on Form 10-K filed with the SEC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and for the six months ended June 30, 2026, and 2025, the Company had two wholly owned subsidiaries, Helomics Corporation and Skyline Medical Inc. (“Skyline Medical”). On March 14, 2025, the Company sold the Skyline Medical business pursuant to an asset purchase agreement with DeRoyal Industries, Inc.; however, Skyline Medical remained a wholly owned subsidiary of Axe Compute following the transaction, with its activities limited to wind-down efforts that were substantially completed as of December 31, 2025. The condensed consolidated financial statements include the accounts of the Company and these wholly owned subsidiaries, with all intercompany transactions and balances eliminated, as of and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2025, the Company disposed of its former Eagan operating segment. Disposal groups that meet the discontinued operations criteria provided in ASC 205-20-45 are classified as discontinued operations. Assets and liabilities of discontinued operations are presented separately in the Company’s condensed consolidated balance sheets and results of discontinued operations are reported as a separate component of net loss in the Company’s condensed consolidated statements of net loss for all periods presented, resulting in changes to the presentation of certain prior period amounts. Results of discontinued operations are excluded from segment results for all periods presented. Cash flows from discontinued operations are also reported separately in the Company’s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Refer to </w:t>
      </w:r>
      <w:r>
        <w:rPr>
          <w:rFonts w:ascii="Times New Roman" w:hAnsi="Times New Roman"/>
          <w:i/>
          <w:caps w:val="false"/>
          <w:smallCaps w:val="false"/>
          <w:sz w:val="20"/>
        </w:rPr>
        <w:t xml:space="preserve">Note 3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xml:space="preserve"> for additional discussion of discontinued operations. All other notes to these condensed consolidated financial statements present the results of continuing operations and exclude amounts related to discontinued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Policies and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GAAP requires management to make estimates and assumptions that affect the reported amounts of assets, liabilities, revenues and expenses and disclosure of contingent assets and liabilities at the date of the condensed consolidated financial statements and during the reporting period. Actual results could materially differ from those estimates. Estimates are used in the following areas, among others: variable consideration associated with revenue recognition, stock-based compensation expense, fair value of derivatives including embedded derivatives, fair value of digital assets, fair value of long-lived assets for impairment analyses, the valuation allowance included in the deferred income tax calculation, accrued expenses, useful lives assigned to property and equipment, and determination of contract commencement dates. The Company bases its estimates on historical experience and assumptions that management considers reasonable. Assumptions are reviewed regularly to ensure they remain relevant and reasonable, particularly in areas of high subjectivity.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2 to the annual consolidated financial statements contained in the Annual Report on Form 10-K filed with the SEC on March 31, 2026, describes the significant accounting policies and estimates used in preparation of the consolidated financial statements. There have been no material changes in the Company’s significant accounting policies during the six months ended June 30, 2026, with the exception of the items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 from GPU Compute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Company’s GPU compute services segment is generated from subscription-based arrangements with enterprise, research, and commercial customers under master services agreements and related order forms. These arrangements provide customers with continuous access to specified GPU compute resources (including GPU type, quantity, and configuration) at designated data center locations over defined service periods, which may range from month-to-month to multi-year terms. Certain contracts also include ancillary storage services, which are accounted for as separate performance obligations when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procures GPU compute capacity from third-party node operators and decentralized cloud infrastructure platforms and resells that capacity to its customers. The Company has concluded that it acts as a principal in these arrangements, as it controls the GPU compute services prior to transferring to the customer, including directing the use of, and obtaining substantially all benefits from, the underlying capacity. Additionally, the Company bears inventory risk and has full discretion regarding the pricing of contracts with customers. Accordingly, revenue is recognized on a gross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GPU compute and related storage services are each considered a series of distinct services that are substantially the same and are satisfied over time, as customers simultaneously receive and consume the benefits of these services as they are provided. Revenue is recognized over time using an output method that faithfully depicts the Company’s performance. For fixed-fee arrangements, revenue is recognized on a straight-line basis over the applicable service period, as the customer receives a consistent level of benefit throughout the term. Usage-based fees, including overage charges based on GPU-hours consumed in excess of contractual limits, are recognized as revenue in the period in which the usage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transaction price primarily consists of fixed monthly subscription fees, which are generally non-cancellable and non-refundable during the contract term. Arrangements might include usage-based overages; however, for the period ended June 30, 2026, any variable consideration was immaterial. Variable consideration is included in revenue only to the extent it is probable that a significant reversal will not occur. For contracts with multiple performance obligations, such as combined GPU compute and storage services, the transaction price is allocated to performance obligations based on relative standalone selling prices. The Company has concluded that these arrangements do not contain significant financing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Construction-in-progress is related to the construction or development of property and equipment that has not yet been placed into service for its intended use. Depreciation of property and equipment is computed using the straight-line method over the estimated useful lives of the respective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estimated useful lives of the Company’s property and equipment are as follows:</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485"/>
        <w:gridCol w:w="147"/>
        <w:gridCol w:w="94"/>
        <w:gridCol w:w="274"/>
      </w:tblGrid>
      <w:tr>
        <w:trPr/>
        <w:tc>
          <w:tcPr>
            <w:tcW w:w="3485" w:type="dxa"/>
            <w:tcBorders/>
            <w:vAlign w:val="center"/>
          </w:tcPr>
          <w:p>
            <w:pPr>
              <w:pStyle w:val="TableContents"/>
              <w:bidi w:val="0"/>
              <w:spacing w:before="0" w:after="283"/>
              <w:jc w:val="left"/>
              <w:rPr/>
            </w:pPr>
            <w:r>
              <w:rPr/>
              <w:t> </w:t>
            </w:r>
          </w:p>
        </w:tc>
        <w:tc>
          <w:tcPr>
            <w:tcW w:w="51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Years</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Technology equipment</w:t>
            </w:r>
          </w:p>
        </w:tc>
        <w:tc>
          <w:tcPr>
            <w:tcW w:w="147"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c>
          <w:tcPr>
            <w:tcW w:w="9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7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Computers, software, and office equipment</w:t>
            </w:r>
          </w:p>
        </w:tc>
        <w:tc>
          <w:tcPr>
            <w:tcW w:w="147"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9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7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Leasehold improvements (1)</w:t>
            </w:r>
          </w:p>
        </w:tc>
        <w:tc>
          <w:tcPr>
            <w:tcW w:w="147"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9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7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147"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9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7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245"/>
        <w:gridCol w:w="815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 are amortized over the shorter of the useful life or the remaining lease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retirement or sale of property and equipment, the cost and related accumulated depreciation are removed from the consolidated balance sheet and the resulting gain or loss is recorded in operations. Expenditures for maintenance and repairs that do not extend the lives of the respective assets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Compute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enters into agreements with third-party vendors to reserve and obtain GPU compute capacity, related storage, networking, and support services. Under these arrangements, the Company is generally required to make prepayments equal to either (1) a percentage of overall contract value or (2) a value equal to the monthly service payment for a number of months. In addition to these prepayments, the Company has monthly service payments over contract terms ranging from 12 to 36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transferring these prepayments, the Company records a compute prepayment as a prepaid asset. The prepaid balance is subsequently recognized as expense over the period in which the related services are received. For arrangements where the prepayment represents an advance payment for services evenly consumed over the contract term, the prepaid balance is amortized on a straight-line basis over the applicable service period. For arrangements where the prepayment relates to specific months of service, the prepaid balance is relieved and recognized as expense in the months to which the prepayment applies, consistent with the pattern of benefit received. Monthly service payments are recognized as expense as incurred in accordance with the underlying contractual terms. The Company evaluates compute prepayments each reporting period to determine whether the recorded balance remains recoverable and appropriately reflects expected future service consumption.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service deployment and commencement under certain compute capacity arrangements is dependent on a variety of third-party factors, including original equipment manufacturer (“OEM”) schedules, GPU allocation timing, logistics, and other operational dependencies. As a result, at the time a compute prepayment is made, the exact period over which the prepaid balance will be utilized may not be known with certainty. Management is therefore required to estimate the expected service commencement date and the period over which the related services will be received in order to determine the appropriate classification of compute prepayments between current and non-current assets and to establish the amortization period. These estimates are based on the facts and circumstances known at the reporting date and are reassessed each reporting period. Changes in actual deployment timing or service consumption patterns may result in adjustments to the classification and timing of expense recognition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2 to the annual consolidated financial statements contained in the Annual Report on Form 10-K filed with the SEC on March 31, 2026, describes certain risks and uncertainties associated with the Company and relevant to the Company’s consolidated financial statements. There have been no additional risks and uncertainties identified by Management in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impact of all Accounting Standards Updates (“ASUs”) issued by the Financial Accounting Standards Board (“FASB”). Recently issued ASUs not listed below either were assessed and determined to be not applicable or are currently expected to have no impact on the consolidated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 - Reporting Comprehensive Income - Expense Disaggregation Disclosures (Subtopic 220-40): Disaggregation of Income Statement Expenses</w:t>
      </w:r>
      <w:r>
        <w:rPr>
          <w:rFonts w:ascii="Times New Roman" w:hAnsi="Times New Roman"/>
          <w:caps w:val="false"/>
          <w:smallCaps w:val="false"/>
          <w:sz w:val="20"/>
        </w:rPr>
        <w:t>. This ASU requires more detailed disclosures related to certain costs and expenses. The guidance requires entities to disclose amounts of certain expense categories included in expense captions presented on the face of the income statement, including purchases of inventory, employee compensation, depreciation, and intangible asset amortization. This ASU is effective for fiscal years beginning after December 15, 2026, and for interim periods beginning after December 15, 2027, with early adoption permitted. The disclosure requirements may be applied either prospectively or retrospectively. Management is currently evaluating this ASU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3 </w:t>
      </w:r>
      <w:r>
        <w:rPr>
          <w:rFonts w:ascii="Times New Roman" w:hAnsi="Times New Roman"/>
          <w:smallCaps/>
          <w:sz w:val="20"/>
        </w:rPr>
        <w:t xml:space="preserve">– </w:t>
      </w:r>
      <w:r>
        <w:rPr>
          <w:rFonts w:ascii="Times New Roman" w:hAnsi="Times New Roman"/>
          <w:b/>
          <w:smallCaps/>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2025, the Company entered into an asset purchase agreement (the “APA”)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(the “Eagan Business”). These assets were operated by the Company’s wholly owned subsidiary, Skyline Medical, and were previously reported in the Company’s Eagan operating segment. The purchased assets exclusively related to the Eagan Business included but were not limited to cash, certain accounts receivable, inventories, patents, fixed assets, and real property leased by the Company and exclusively used in connection with the Eagan Business. The total purchase price for the assets was $625,000, plus the assumption of certain liabilities related to the Eagan Business including the lease for the office and warehouse space located at 2915 Commers Drive Suite 900 Eagan, MN 55121, certain accounts payable, and contract liabilities associated with the Eagan Business. The ongoing activities of the former Eagan operating segment are limited to wind down activities. As a result of these developments, the former Eagan operating segments have been reclassified to discontinued operations in these condensed consolidated financial statements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balance sheet as of June 30, 2026, does not include any assets and liabilities of discontinued operations. The following table presents a reconciliation of the carrying amounts of the major classes of assets and liabilities to the current assets and liabilities of discontinued operations as presented in the Company’s condensed consolidated balance sheet as of June 30, 2025:</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4115"/>
        <w:gridCol w:w="60"/>
        <w:gridCol w:w="125"/>
        <w:gridCol w:w="695"/>
        <w:gridCol w:w="6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37,297</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47,723</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of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252,015</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342,204</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statement of net loss as of June 30, 2026, does not include any discontinued operation activity. The following table provides details about the major classes of line items constituting the loss from discontinued operations presented in the Company’s condensed consolidated statement of net loss for the three and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4190"/>
        <w:gridCol w:w="60"/>
        <w:gridCol w:w="335"/>
        <w:gridCol w:w="2024"/>
        <w:gridCol w:w="80"/>
        <w:gridCol w:w="60"/>
        <w:gridCol w:w="301"/>
        <w:gridCol w:w="1818"/>
        <w:gridCol w:w="80"/>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9" w:type="dxa"/>
            <w:gridSpan w:val="2"/>
            <w:tcBorders>
              <w:bottom w:val="single" w:sz="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xml:space="preserve">For the 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2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157,179</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from discontinued operations</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2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34,379</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24"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81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2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204,341</w:t>
            </w:r>
          </w:p>
        </w:tc>
        <w:tc>
          <w:tcPr>
            <w:tcW w:w="8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2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125,495</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2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130,318</w:t>
            </w:r>
          </w:p>
        </w:tc>
        <w:tc>
          <w:tcPr>
            <w:tcW w:w="8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 from discontinued operations</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2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ind w:left="0" w:right="0" w:hanging="0"/>
              <w:jc w:val="left"/>
              <w:rPr/>
            </w:pPr>
            <w:r>
              <w:rPr/>
              <w:t> </w:t>
            </w:r>
          </w:p>
        </w:tc>
        <w:tc>
          <w:tcPr>
            <w:tcW w:w="1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disposal of discontinued operations</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2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1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172,451</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2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gain on disposal of discontinued operations represents the gain on assets sold and liabilities assumed by DeRoyal.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4 </w:t>
      </w:r>
      <w:r>
        <w:rPr>
          <w:rFonts w:ascii="Times New Roman" w:hAnsi="Times New Roman"/>
          <w:smallCaps/>
          <w:sz w:val="20"/>
        </w:rPr>
        <w:t xml:space="preserve">– </w:t>
      </w:r>
      <w:r>
        <w:rPr>
          <w:rFonts w:ascii="Times New Roman" w:hAnsi="Times New Roman"/>
          <w:b/>
          <w:smallCaps/>
          <w:sz w:val="20"/>
        </w:rPr>
        <w:t>REVENUE RECOGNITION AND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primarily generates its revenue through providing GPU compute services for fixed term contracts. Revenue recognized related to fixed term contracts represented substantially all of the revenue for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customers accounted for 10% or more of the Company’s revenue for the periods presented:</w:t>
      </w:r>
    </w:p>
    <w:p>
      <w:pPr>
        <w:pStyle w:val="TextBody"/>
        <w:bidi w:val="0"/>
        <w:spacing w:before="0" w:after="0"/>
        <w:ind w:left="0" w:right="0" w:hanging="0"/>
        <w:jc w:val="left"/>
        <w:rPr>
          <w:caps w:val="false"/>
          <w:smallCaps w:val="false"/>
        </w:rPr>
      </w:pPr>
      <w:r>
        <w:rPr>
          <w:caps w:val="false"/>
          <w:smallCaps w:val="false"/>
        </w:rPr>
        <w:t> </w:t>
      </w:r>
    </w:p>
    <w:tbl>
      <w:tblPr>
        <w:tblW w:w="6052" w:type="dxa"/>
        <w:jc w:val="left"/>
        <w:tblInd w:w="0" w:type="dxa"/>
        <w:tblLayout w:type="fixed"/>
        <w:tblCellMar>
          <w:top w:w="0" w:type="dxa"/>
          <w:left w:w="0" w:type="dxa"/>
          <w:bottom w:w="0" w:type="dxa"/>
          <w:right w:w="0" w:type="dxa"/>
        </w:tblCellMar>
      </w:tblPr>
      <w:tblGrid>
        <w:gridCol w:w="980"/>
        <w:gridCol w:w="60"/>
        <w:gridCol w:w="211"/>
        <w:gridCol w:w="811"/>
        <w:gridCol w:w="652"/>
        <w:gridCol w:w="211"/>
        <w:gridCol w:w="211"/>
        <w:gridCol w:w="440"/>
        <w:gridCol w:w="60"/>
        <w:gridCol w:w="60"/>
        <w:gridCol w:w="191"/>
        <w:gridCol w:w="734"/>
        <w:gridCol w:w="590"/>
        <w:gridCol w:w="191"/>
        <w:gridCol w:w="191"/>
        <w:gridCol w:w="399"/>
        <w:gridCol w:w="60"/>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52" w:type="dxa"/>
            <w:tcBorders>
              <w:bottom w:val="single" w:sz="2" w:space="0" w:color="000000"/>
            </w:tcBorders>
            <w:tcMar>
              <w:bottom w:w="28" w:type="dxa"/>
            </w:tcMar>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ind w:left="0" w:right="0" w:hanging="0"/>
              <w:jc w:val="left"/>
              <w:rPr/>
            </w:pPr>
            <w:r>
              <w:rPr/>
              <w:t> </w:t>
            </w:r>
          </w:p>
        </w:tc>
        <w:tc>
          <w:tcPr>
            <w:tcW w:w="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590" w:type="dxa"/>
            <w:tcBorders>
              <w:bottom w:val="single" w:sz="2" w:space="0" w:color="000000"/>
            </w:tcBorders>
            <w:tcMar>
              <w:bottom w:w="28"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B</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3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3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Customer did not represent 10% or more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A, B, and C accounted for 16%, 13%, and 58% of accounts receivable, net, respectively, as of June 30, 2026. All other single customers represent less than 10% of revenue and accounts receivable, net, for the three and six month periods ended and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contract balances are comprised of prepayments received from compute services customers. The Company invoices for services in advance and when the Company receives consideration (or has an unconditional right to consideration) before services are fulfilled, the Company recognizes a contract liability for the unfulfilled performance obligation. These prepayments are classified as contract liabilities until the appropriate revenue recognition criteria have been met.  As of June 30, 2026, the Company had contract liabilities of $60.7 million primarily related to compute services. As of December 31, 2025, the Company had contract liabilities of $0.1 million which was all related to Drug Discovery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 reconciliation of the changes in the Company’s contract balances:</w:t>
      </w:r>
    </w:p>
    <w:p>
      <w:pPr>
        <w:pStyle w:val="TextBody"/>
        <w:bidi w:val="0"/>
        <w:spacing w:before="0" w:after="0"/>
        <w:ind w:left="0" w:right="0" w:hanging="0"/>
        <w:jc w:val="left"/>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2390"/>
        <w:gridCol w:w="60"/>
        <w:gridCol w:w="138"/>
        <w:gridCol w:w="1051"/>
        <w:gridCol w:w="80"/>
        <w:gridCol w:w="60"/>
        <w:gridCol w:w="181"/>
        <w:gridCol w:w="1008"/>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224,076</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billings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63,822,941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(3,212,345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60,754,672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an immaterial amount of revenue was recognized relating to the contract liabilities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no contract assets as of the periods presented, as the Company’s right to consideration becomes unconditional upon invoicing (which occurs at or before the service period commences) and does not depend on any factor other than passage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$60.8 million of remaining performance obligations. The Company expects to recognize revenue associated with these performance obligations as follows:</w:t>
      </w:r>
    </w:p>
    <w:p>
      <w:pPr>
        <w:pStyle w:val="TextBody"/>
        <w:bidi w:val="0"/>
        <w:spacing w:before="0" w:after="0"/>
        <w:ind w:left="0" w:right="0" w:hanging="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2225"/>
        <w:gridCol w:w="60"/>
        <w:gridCol w:w="125"/>
        <w:gridCol w:w="950"/>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29,301,246</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7,053,109</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1,906,741</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22,493,576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60,754,672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5 </w:t>
      </w:r>
      <w:r>
        <w:rPr>
          <w:rFonts w:ascii="Times New Roman" w:hAnsi="Times New Roman"/>
          <w:smallCaps/>
          <w:sz w:val="20"/>
        </w:rPr>
        <w:t xml:space="preserve">– </w:t>
      </w:r>
      <w:r>
        <w:rPr>
          <w:rFonts w:ascii="Times New Roman" w:hAnsi="Times New Roman"/>
          <w:b/>
          <w:smallCaps/>
          <w:sz w:val="20"/>
        </w:rPr>
        <w:t>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digital assets, as presented on the condensed consolidated balance sheets for the periods indicated, consist primarily of ATH. ATH qualifies for recurring fair-value measurement under ASC 350-60, </w:t>
      </w:r>
      <w:r>
        <w:rPr>
          <w:rFonts w:ascii="Times New Roman" w:hAnsi="Times New Roman"/>
          <w:i/>
          <w:caps w:val="false"/>
          <w:smallCaps w:val="false"/>
          <w:sz w:val="20"/>
        </w:rPr>
        <w:t>Intangibles</w:t>
      </w:r>
      <w:r>
        <w:rPr>
          <w:rFonts w:ascii="Times New Roman" w:hAnsi="Times New Roman"/>
          <w:caps w:val="false"/>
          <w:smallCaps w:val="false"/>
          <w:sz w:val="20"/>
        </w:rPr>
        <w:t> — </w:t>
      </w:r>
      <w:r>
        <w:rPr>
          <w:rFonts w:ascii="Times New Roman" w:hAnsi="Times New Roman"/>
          <w:i/>
          <w:caps w:val="false"/>
          <w:smallCaps w:val="false"/>
          <w:sz w:val="20"/>
        </w:rPr>
        <w:t>Goodwill and Other</w:t>
      </w:r>
      <w:r>
        <w:rPr>
          <w:rFonts w:ascii="Times New Roman" w:hAnsi="Times New Roman"/>
          <w:caps w:val="false"/>
          <w:smallCaps w:val="false"/>
          <w:sz w:val="20"/>
        </w:rPr>
        <w:t> — </w:t>
      </w:r>
      <w:r>
        <w:rPr>
          <w:rFonts w:ascii="Times New Roman" w:hAnsi="Times New Roman"/>
          <w:i/>
          <w:caps w:val="false"/>
          <w:smallCaps w:val="false"/>
          <w:sz w:val="20"/>
        </w:rPr>
        <w:t>Accounting for and Disclosure of Crypto Assets</w:t>
      </w:r>
      <w:r>
        <w:rPr>
          <w:rFonts w:ascii="Times New Roman" w:hAnsi="Times New Roman"/>
          <w:caps w:val="false"/>
          <w:smallCaps w:val="false"/>
          <w:sz w:val="20"/>
        </w:rPr>
        <w:t xml:space="preserve">, with changes in fair value recognized in earnings in accordance with ASC 820, </w:t>
      </w:r>
      <w:r>
        <w:rPr>
          <w:rFonts w:ascii="Times New Roman" w:hAnsi="Times New Roman"/>
          <w:i/>
          <w:caps w:val="false"/>
          <w:smallCaps w:val="false"/>
          <w:sz w:val="20"/>
        </w:rPr>
        <w:t>Fair Value Measurement</w:t>
      </w:r>
      <w:r>
        <w:rPr>
          <w:rFonts w:ascii="Times New Roman" w:hAnsi="Times New Roman"/>
          <w:caps w:val="false"/>
          <w:smallCaps w:val="false"/>
          <w:sz w:val="20"/>
        </w:rPr>
        <w:t>, based on quoted (unadjusted) prices on the principal market of the Company for ATH (Level 1 inputs). The following table summarizes the number of units held, cost basis, and fair value of ATH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1595"/>
        <w:gridCol w:w="60"/>
        <w:gridCol w:w="60"/>
        <w:gridCol w:w="1205"/>
        <w:gridCol w:w="60"/>
        <w:gridCol w:w="60"/>
        <w:gridCol w:w="125"/>
        <w:gridCol w:w="1055"/>
        <w:gridCol w:w="60"/>
        <w:gridCol w:w="60"/>
        <w:gridCol w:w="125"/>
        <w:gridCol w:w="950"/>
        <w:gridCol w:w="60"/>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 Held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Basis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2,655,414,499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94,739,253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11,144,775</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2,837,163,868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101,258,178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24,439,334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basis represents the purchase price of digital assets, including transaction fees, if any, at the time of acquisition or upon receipt. Fair value represents quoted prices for the digital assets in the Company’s principal market at 11:59 p.m. Eastern Time on each reporting date in accordance with the Company’s crypto-asset valuation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 reconciliation of digital assets held, for ATH specific activity:</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2720"/>
        <w:gridCol w:w="60"/>
        <w:gridCol w:w="243"/>
        <w:gridCol w:w="1966"/>
        <w:gridCol w:w="8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b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24,439,334</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ATH</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ATH used in operations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from ATH loaned</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76,896</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Realized (loss)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(10,898,379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11,144,775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309" w:type="dxa"/>
        <w:jc w:val="left"/>
        <w:tblInd w:w="0" w:type="dxa"/>
        <w:tblLayout w:type="fixed"/>
        <w:tblCellMar>
          <w:top w:w="0" w:type="dxa"/>
          <w:left w:w="0" w:type="dxa"/>
          <w:bottom w:w="0" w:type="dxa"/>
          <w:right w:w="0" w:type="dxa"/>
        </w:tblCellMar>
      </w:tblPr>
      <w:tblGrid>
        <w:gridCol w:w="2720"/>
        <w:gridCol w:w="60"/>
        <w:gridCol w:w="284"/>
        <w:gridCol w:w="2165"/>
        <w:gridCol w:w="8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b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20,233,245</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ATH</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2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ATH used in operations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2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from ATH loaned</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2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76,896</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Realized (loss)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2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(6,724,378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11,144,775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held $0.1 million of non-ATH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ATH tokens were utilized primarily for the rental of GPU compute capacity on the Aethir decentralized infrastructure network, supporting the Company's compute-related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generated ATH-denominated digital asset lending income through a digital asset lending arrangement. The Company transferred 2.4 billion ATH tokens via the Aethir portal for a defined period of time of 31 calendar days. The lending arrangement accrued interest at a fixed annual rate of 6%, calculated on a simple interest basis. Upon expiration of the term of the digital asset lending arrangement, the principal amount and accrued interest were repaid in full. For the six months ended June 30, 2026, the Company recognized digital asset lending income of $0.1 million. As of June 30, 2026, no digital assets held by the Company were subject to the lending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Side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private placement transactions completed in October 2025 to support the Company’s treasury strategy, the Company entered into a side letter agreement (the “Side Letter”) with DCI, effective October 7, 2025. Pursuant to the Side Letter, for each ATH token purchased by the Company in the open market, whether through centralized or decentralized exchanges operating on the Ethereum Network, DCI will grant the Company additional ATH tokens equal to 20% of the number of tokens purchased (the “Bonus ATH”), to be delivered within 30 days of the related purchase. The Bonus ATH is not subject to restrictions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the Side Letter as a derivative instrument. As of June 30, 2026 and December 31, 2025, respectively, no derivative asset was recognized, as all Bonus ATH associated with open market purchases made during the period had been received from DCI.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did not receive any Bonus ATH as there were no open market purchases of ATH made during the period. The cost basis of the ATH received in prior periods pursuant to the Side Letter and subsequent fair value adjustments thereto are recorded within “Gains (losses) on digital assets” on the condensed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Digital asset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the Company’s ATH holdings consists of contractual rights to receive ATH tokens that are subject to time-based vesting and transfer restrictions (“Locked ATH”). Locked ATH was obtained pursuant to Simple Agreements for Future Tokens (“SAFTs”) and is administered through an on-chain smart contract deployed on the Ethereum mainnet. Prior to vesting and claim, the Company does not have control of the underlying ATH tokens and is not able to transfer, sell, stake, pledge, or otherwise deploy such tokens.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smart contract enforces the applicable vesting schedules and restricts access to the ATH tokens until the vesting conditions are satisfied. Upon satisfaction of the vesting conditions, the Company must affirmatively claim the unlocked ATH tokens through the smart contract interface, at which point the tokens are released from restriction and transferred to a Company-controlled wallet. Until such claim occurs, the Locked ATH represents a contractual right to receive ATH in the future rather than a digital asset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held rights to receive ATH tokens that remain subject to vesting and claim requirements. The vesting period for these ATH tokens ranges from less than one month to approximately 3 years. These restrictions are specific to the underlying ATH tokens. Upon vesting and claim, the restrictions lapse and the Company obtains control of the ATH tokens, which may then be held, transferred to custodial accounts, staked, or otherwise deployed in accordance with the Company’s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recorded a digital asset receivable of $10.3 million related to the Locked ATH, consisting of a host receivable of $93.4 million, net of an embedded derivative liability measured at fair value of $83.1 million. The change in fair value of the embedded derivative of $5.2 million for the six months ended June 30, 2026, was recognized within “Gains (losses) on digital assets” in the condensed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recorded a digital asset receivable of $15.5 million related to the Locked ATH, consisting of a host receivable of $93.4 million, net of an embedded derivative liability measured at fair value of $77.9 million. The change in fair value of the embedded derivative of $77.9 million for the year ended December 31, 2025, was recognized within “Gains (losses) on digital assets” in the condensed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6 </w:t>
      </w:r>
      <w:r>
        <w:rPr>
          <w:rFonts w:ascii="Times New Roman" w:hAnsi="Times New Roman"/>
          <w:smallCaps/>
          <w:sz w:val="20"/>
        </w:rPr>
        <w:t xml:space="preserve">– </w:t>
      </w:r>
      <w:r>
        <w:rPr>
          <w:rFonts w:ascii="Times New Roman" w:hAnsi="Times New Roman"/>
          <w:b/>
          <w:smallCaps/>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information about the Company’s financial assets and liabilities measured at fair value on a recurring basis and indicate the fair value hierarchy of the valuation inputs the Company utilized to determine such fair value as of June 30, 2026 and December 31, 2025, respectively. Fair value estimates do not necessarily represent the amounts that may be ultimately realized.</w:t>
      </w:r>
    </w:p>
    <w:p>
      <w:pPr>
        <w:pStyle w:val="TextBody"/>
        <w:bidi w:val="0"/>
        <w:spacing w:before="0" w:after="0"/>
        <w:ind w:left="0" w:right="0" w:hanging="0"/>
        <w:jc w:val="left"/>
        <w:rPr>
          <w:caps w:val="false"/>
          <w:smallCaps w:val="false"/>
        </w:rPr>
      </w:pPr>
      <w:r>
        <w:rPr>
          <w:caps w:val="false"/>
          <w:smallCaps w:val="false"/>
        </w:rPr>
        <w:t> </w:t>
      </w:r>
    </w:p>
    <w:tbl>
      <w:tblPr>
        <w:tblW w:w="8989" w:type="dxa"/>
        <w:jc w:val="left"/>
        <w:tblInd w:w="0" w:type="dxa"/>
        <w:tblLayout w:type="fixed"/>
        <w:tblCellMar>
          <w:top w:w="0" w:type="dxa"/>
          <w:left w:w="0" w:type="dxa"/>
          <w:bottom w:w="0" w:type="dxa"/>
          <w:right w:w="0" w:type="dxa"/>
        </w:tblCellMar>
      </w:tblPr>
      <w:tblGrid>
        <w:gridCol w:w="4475"/>
        <w:gridCol w:w="60"/>
        <w:gridCol w:w="125"/>
        <w:gridCol w:w="1010"/>
        <w:gridCol w:w="80"/>
        <w:gridCol w:w="60"/>
        <w:gridCol w:w="125"/>
        <w:gridCol w:w="950"/>
        <w:gridCol w:w="60"/>
        <w:gridCol w:w="60"/>
        <w:gridCol w:w="395"/>
        <w:gridCol w:w="254"/>
        <w:gridCol w:w="60"/>
        <w:gridCol w:w="60"/>
        <w:gridCol w:w="125"/>
        <w:gridCol w:w="1010"/>
        <w:gridCol w:w="80"/>
      </w:tblGrid>
      <w:tr>
        <w:trPr/>
        <w:tc>
          <w:tcPr>
            <w:tcW w:w="44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11,268,342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11,268,342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derivative related to digital asset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(83,086,868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(83,086,868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989" w:type="dxa"/>
        <w:jc w:val="left"/>
        <w:tblInd w:w="0" w:type="dxa"/>
        <w:tblLayout w:type="fixed"/>
        <w:tblCellMar>
          <w:top w:w="0" w:type="dxa"/>
          <w:left w:w="0" w:type="dxa"/>
          <w:bottom w:w="0" w:type="dxa"/>
          <w:right w:w="0" w:type="dxa"/>
        </w:tblCellMar>
      </w:tblPr>
      <w:tblGrid>
        <w:gridCol w:w="4475"/>
        <w:gridCol w:w="60"/>
        <w:gridCol w:w="125"/>
        <w:gridCol w:w="1010"/>
        <w:gridCol w:w="80"/>
        <w:gridCol w:w="60"/>
        <w:gridCol w:w="125"/>
        <w:gridCol w:w="950"/>
        <w:gridCol w:w="60"/>
        <w:gridCol w:w="60"/>
        <w:gridCol w:w="395"/>
        <w:gridCol w:w="254"/>
        <w:gridCol w:w="60"/>
        <w:gridCol w:w="60"/>
        <w:gridCol w:w="125"/>
        <w:gridCol w:w="1010"/>
        <w:gridCol w:w="80"/>
      </w:tblGrid>
      <w:tr>
        <w:trPr/>
        <w:tc>
          <w:tcPr>
            <w:tcW w:w="44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24,439,598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24,439,598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derivative related to digital asset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(77,893,482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(77,893,482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equivalents represent the Company’s money market investments. The fair value of these investments is based on the daily market price for identical assets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embedded derivative related to the digital asset receivable must be remeasured at fair value each reporting period in accordance with ASC 815, </w:t>
      </w:r>
      <w:r>
        <w:rPr>
          <w:rFonts w:ascii="Times New Roman" w:hAnsi="Times New Roman"/>
          <w:i/>
          <w:caps w:val="false"/>
          <w:smallCaps w:val="false"/>
          <w:sz w:val="20"/>
        </w:rPr>
        <w:t>Derivatives and Hedging</w:t>
      </w:r>
      <w:r>
        <w:rPr>
          <w:rFonts w:ascii="Times New Roman" w:hAnsi="Times New Roman"/>
          <w:caps w:val="false"/>
          <w:smallCaps w:val="false"/>
          <w:sz w:val="20"/>
        </w:rPr>
        <w:t>. Because there is no directly observable market for illiquid, contractually restricted ATH tokens subject to a time-based vesting schedule, the embedded derivative related to digital asset receivable is classified as Level 3. The key unobservable input is the discount applied to reflect the lack of transferability and control during the restriction period. The discount is determined based on the remaining vesting period from each reporting period to the date on which the tokens become fully vested and available to claim, and is reduced ratably at each subsequent measurement date until it reaches zero at full vesting. As of the six months ended June 30, 2026, applied discounts ranged from approximately 20% to 45%. As of December 31, 2025, applied discounts ranged from approximately 30% to 55%. Changes in fair value of the embedded derivative are recognized in the consolidated statements of net loss within "Gains (losses) on digital assets." There were no transfers into or out of Level 3 of the fair value hierarchy during the six months ended June 30,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7 </w:t>
      </w:r>
      <w:r>
        <w:rPr>
          <w:rFonts w:ascii="Times New Roman" w:hAnsi="Times New Roman"/>
          <w:smallCaps/>
          <w:sz w:val="20"/>
        </w:rPr>
        <w:t xml:space="preserve">– </w:t>
      </w:r>
      <w:r>
        <w:rPr>
          <w:rFonts w:ascii="Times New Roman" w:hAnsi="Times New Roman"/>
          <w:b/>
          <w:smallCaps/>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644" w:type="dxa"/>
        <w:jc w:val="left"/>
        <w:tblInd w:w="0" w:type="dxa"/>
        <w:tblLayout w:type="fixed"/>
        <w:tblCellMar>
          <w:top w:w="0" w:type="dxa"/>
          <w:left w:w="0" w:type="dxa"/>
          <w:bottom w:w="0" w:type="dxa"/>
          <w:right w:w="0" w:type="dxa"/>
        </w:tblCellMar>
      </w:tblPr>
      <w:tblGrid>
        <w:gridCol w:w="4070"/>
        <w:gridCol w:w="60"/>
        <w:gridCol w:w="125"/>
        <w:gridCol w:w="950"/>
        <w:gridCol w:w="80"/>
        <w:gridCol w:w="60"/>
        <w:gridCol w:w="148"/>
        <w:gridCol w:w="1071"/>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Computers, software, and office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 - Technology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17,100,106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166,847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19,150,533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2,029,427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(1,858,660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(1,806,299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recorded within general and administrative expenses of continuing operations, was $25,089 and $31,467 for the three months ended June 30, 2026 and 2025, respectively, and $52,361 and $62,934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purchased $17.1 million of technology equipment related to the infrastructure solutions model within the compute services business. As of June 30, 2026, the entirety of the technology equipment balance represents construction in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impairment charges related to property and equipment held and used in continuing operations were incurred during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NOTE 8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entered into several agreements with third-party vendors to reserve and obtain access to GPU compute capacity, related storage, networking, and support services. Management has evaluated these arrangements and concluded that they are service commitments and not leases. Under these arrangements, the Company is generally required to make upfront payments and, following service commencement or operational activation, monthly service payments over contract terms ranging from 12 to 36 months. These arrangements represent total contractual commitments to be paid according to the following schedule:</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2225"/>
        <w:gridCol w:w="60"/>
        <w:gridCol w:w="125"/>
        <w:gridCol w:w="1055"/>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16,757,954</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107,744,100</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99,220,630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38,852,831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262,575,515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ordinary course of business, the Company may be subject from time to time to various proceedings, lawsuits, disputes, or claims. In accordance with ASC 450, </w:t>
      </w:r>
      <w:r>
        <w:rPr>
          <w:rFonts w:ascii="Times New Roman" w:hAnsi="Times New Roman"/>
          <w:i/>
          <w:caps w:val="false"/>
          <w:smallCaps w:val="false"/>
          <w:sz w:val="20"/>
        </w:rPr>
        <w:t>Contingencies</w:t>
      </w:r>
      <w:r>
        <w:rPr>
          <w:rFonts w:ascii="Times New Roman" w:hAnsi="Times New Roman"/>
          <w:caps w:val="false"/>
          <w:smallCaps w:val="false"/>
          <w:sz w:val="20"/>
        </w:rPr>
        <w:t xml:space="preserve">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Company’s contingencies as disclosed in the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9 </w:t>
      </w:r>
      <w:r>
        <w:rPr>
          <w:rFonts w:ascii="Times New Roman" w:hAnsi="Times New Roman"/>
          <w:smallCaps/>
          <w:sz w:val="20"/>
        </w:rPr>
        <w:t xml:space="preserve">– </w:t>
      </w:r>
      <w:r>
        <w:rPr>
          <w:rFonts w:ascii="Times New Roman" w:hAnsi="Times New Roman"/>
          <w:b/>
          <w:smallCaps/>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corporate offices and other offices are located in Pittsburgh, Pennsylvania. The leases are effective through February 29,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under operating lease arrangements, recorded within general and administrative expenses of continuing operations, was $196,169 for the three months ended June 30, 2026 and 2025, and $392,337and $392,503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operating lease asset and liabilities recorded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8084" w:type="dxa"/>
        <w:jc w:val="left"/>
        <w:tblInd w:w="0" w:type="dxa"/>
        <w:tblLayout w:type="fixed"/>
        <w:tblCellMar>
          <w:top w:w="0" w:type="dxa"/>
          <w:left w:w="0" w:type="dxa"/>
          <w:bottom w:w="0" w:type="dxa"/>
          <w:right w:w="0" w:type="dxa"/>
        </w:tblCellMar>
      </w:tblPr>
      <w:tblGrid>
        <w:gridCol w:w="5390"/>
        <w:gridCol w:w="60"/>
        <w:gridCol w:w="125"/>
        <w:gridCol w:w="905"/>
        <w:gridCol w:w="185"/>
        <w:gridCol w:w="60"/>
        <w:gridCol w:w="142"/>
        <w:gridCol w:w="1032"/>
        <w:gridCol w:w="185"/>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June 30,</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2,922,365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2,922,365</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(1,741,805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(1,434,662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1,180,560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1,487,703</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653,743</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535,168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904,495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1,243,327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1,558,238</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 operating leases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operating lease obligations as of June 30, 2026, which include expected lease extensions that are reasonably certain of renewal, were as follows:</w:t>
      </w:r>
    </w:p>
    <w:p>
      <w:pPr>
        <w:pStyle w:val="TextBody"/>
        <w:bidi w:val="0"/>
        <w:spacing w:before="0" w:after="0"/>
        <w:ind w:left="0" w:right="0" w:hanging="0"/>
        <w:jc w:val="both"/>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2585"/>
        <w:gridCol w:w="60"/>
        <w:gridCol w:w="125"/>
        <w:gridCol w:w="845"/>
        <w:gridCol w:w="80"/>
      </w:tblGrid>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403,618</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827,909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1,370,549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(127,222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1,243,327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10 </w:t>
      </w:r>
      <w:r>
        <w:rPr>
          <w:rFonts w:ascii="Times New Roman" w:hAnsi="Times New Roman"/>
          <w:smallCaps/>
          <w:sz w:val="20"/>
        </w:rPr>
        <w:t xml:space="preserve">– </w:t>
      </w:r>
      <w:r>
        <w:rPr>
          <w:rFonts w:ascii="Times New Roman" w:hAnsi="Times New Roman"/>
          <w:b/>
          <w:smallCaps/>
          <w:sz w:val="20"/>
        </w:rPr>
        <w:t>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2026, the Company purchased director and officer insurance policies with a policy period ending June 2027 and financed $0.4 million of its total premium by entering into a note payable with a finance provider that requires ten monthly installment payments through April 2027. The note is secured by a first priority lien on the financed policies. The short-term note bears interest at an annual percentage rate of 6.1% over the life of the note. As of June 30, 2026, the outstanding balance of the note was $0.4 million including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2025, the Company purchased director and officer insurance policies with a policy period ending June 2026 and financed $0.3 million of its total premium by entering into a note payable with a finance provider that required ten monthly installment payments through April 2026. The note was secured by a first priority lien on the financed policies. The short-term note bears interest at an annual percentage rate of 6.6% over the life of the note. As of December 31, 2025, the outstanding balance of the note was $0.1 million including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11 </w:t>
      </w:r>
      <w:r>
        <w:rPr>
          <w:rFonts w:ascii="Times New Roman" w:hAnsi="Times New Roman"/>
          <w:smallCaps/>
          <w:sz w:val="20"/>
        </w:rPr>
        <w:t xml:space="preserve">– </w:t>
      </w:r>
      <w:r>
        <w:rPr>
          <w:rFonts w:ascii="Times New Roman" w:hAnsi="Times New Roman"/>
          <w:b/>
          <w:smallCaps/>
          <w:sz w:val="20"/>
        </w:rPr>
        <w:t>STOCKHOLDERS</w:t>
      </w:r>
      <w:r>
        <w:rPr>
          <w:rFonts w:ascii="Times New Roman" w:hAnsi="Times New Roman"/>
          <w:smallCaps/>
          <w:sz w:val="20"/>
        </w:rPr>
        <w:t xml:space="preserve">’ </w:t>
      </w:r>
      <w:r>
        <w:rPr>
          <w:rFonts w:ascii="Times New Roman" w:hAnsi="Times New Roman"/>
          <w:b/>
          <w:smallCaps/>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 2024, the Company entered into an at-the-market (“ATM”) sales agreement with Wainwright &amp; Co., LLC (“Wainwright”), under which it may issue and sell shares of its common stock, with Wainwright acting as sales agent and receiving a 3.0% commission on gross proceeds. The Company subsequently filed a shelf registration statement and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18, 2025, in accordance with the terms of the Sales Agreement, the Company filed a prospectus supplement to the May 2024 Shelf Registration Statement relating to the offer and sale of up to an additional $1.5 million of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 2025, in accordance with the terms of the Sales Agreement, the Company determined to further increase the number of shares it may sell under the Sales Agreement, from the approximately $1.4 million remaining as of May 31, 2025, up to an aggregate of $3.4 million, and the Company filed an additional prospectus supplement with the SEC on June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29, 2025, in accordance with the terms of the Sales Agreement, the Company determined to further increase the number of shares it may sell under the Sales Agreement, from the approximately $2.3 million remaining as of September 30, 2025, up to an aggregate of $18.3 million, and the Company filed an additional prospectus supplement with the SEC on October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April 2026, the company sold 1,063,864 shares of common stock pursuant to the Sales Agreement at an average price of approximately $10.22 per share, resulting in approximately $10.3 million in aggregate net proceeds, after deducting commissions and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2026, in accordance with the terms of the Sales Agreement, the Company filed an additional prospectus supplement with the SEC increasing the aggregate amount of common stock that may be offered and sold under the Sales Agreement to up to $100 million, inclusive of approximately $17.0 million of shares previously sold under the Sales Agreement, resulting in approximately $83.0 million remaining available to the Company for future sales thereunder. Since the Company's public float exceeded $75.0 million as of May 15, 2026, the Company is no longer subject to the baby shelf limitations of General Instruction I.B.6 of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approximately $83.0 million remained available to the Company for sales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September 2025 Private Placements and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the Company entered into a securities purchase agreement (the “Crypto SPA”) with certain accredited investors pursuant to which the Company agreed to sell and issue to such investors in a private placement (the “Crypto PIPE Offering”) pre-funded warrants (the “Crypto PIPE Warrants”). Also on September 29, 2025, the Company entered into a securities purchase agreement (the “Cash SPA,” and together with the Crypto SPA, the “September SPAs”), pursuant to which it agreed to sell and issue to certain accredited investors, in exchange for cash (the “Cash PIPE Offering,” and together with the Crypto PIPE Offering, the “PIPE Offerings”), the Company’s common stock and warrants (the “Cash PIPE Warrants”). The PIPE Offerings closed October 7, 2025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PIPE and Crypto PIPE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Cash PIPE Offering, the Company sold an aggregate of 4,366,703 shares of common stock (or pre-funded warrants at a nominal $0.01 exercise price per share to purchase shares of common stock, in lieu thereof) to certain accredited investors for $11.6265 per share. In the Crypto PIPE, the Company issued, to certain accredited investors, Crypto PIPE Warrants to purchase up to 14,903,393 shares of its common stock at a nominal $0.01 exercise price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6,146,671 pre-funded warrants exercised for the six months ended June 30, 2026, and the total number of pre-funded warrants outstanding was 9,972,424 as of June 30, 2026, all of which were vested and exercisable and have no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summarizes transactions for warrants for the period indicated: </w:t>
      </w:r>
    </w:p>
    <w:p>
      <w:pPr>
        <w:pStyle w:val="TextBody"/>
        <w:bidi w:val="0"/>
        <w:spacing w:before="0" w:after="0"/>
        <w:ind w:left="0" w:right="0" w:hanging="0"/>
        <w:jc w:val="both"/>
        <w:rPr>
          <w:caps w:val="false"/>
          <w:smallCaps w:val="false"/>
        </w:rPr>
      </w:pPr>
      <w:r>
        <w:rPr>
          <w:caps w:val="false"/>
          <w:smallCaps w:val="false"/>
        </w:rPr>
        <w:t> </w:t>
      </w:r>
    </w:p>
    <w:tbl>
      <w:tblPr>
        <w:tblW w:w="5854" w:type="dxa"/>
        <w:jc w:val="left"/>
        <w:tblInd w:w="0" w:type="dxa"/>
        <w:tblLayout w:type="fixed"/>
        <w:tblCellMar>
          <w:top w:w="0" w:type="dxa"/>
          <w:left w:w="0" w:type="dxa"/>
          <w:bottom w:w="0" w:type="dxa"/>
          <w:right w:w="0" w:type="dxa"/>
        </w:tblCellMar>
      </w:tblPr>
      <w:tblGrid>
        <w:gridCol w:w="3065"/>
        <w:gridCol w:w="60"/>
        <w:gridCol w:w="60"/>
        <w:gridCol w:w="859"/>
        <w:gridCol w:w="80"/>
        <w:gridCol w:w="60"/>
        <w:gridCol w:w="281"/>
        <w:gridCol w:w="1329"/>
        <w:gridCol w:w="6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warrants granted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12 </w:t>
      </w:r>
      <w:r>
        <w:rPr>
          <w:rFonts w:ascii="Times New Roman" w:hAnsi="Times New Roman"/>
          <w:smallCaps/>
          <w:sz w:val="20"/>
        </w:rPr>
        <w:t xml:space="preserve">– </w:t>
      </w:r>
      <w:r>
        <w:rPr>
          <w:rFonts w:ascii="Times New Roman" w:hAnsi="Times New Roman"/>
          <w:b/>
          <w:smallCaps/>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Company’s stockholders approved the 2024 Equity Incentive Plan (the “2024 Plan”). The 2024 Plan allows for the issuance of non-statutory stock options and incentive stock options, stock appreciation rights, stock awards, restricted stock, restricted stock units, and performance awards to employees, directors, and consultants of the Company, where permitted under the plan. Due to the approval of the 2024 Plan, no new awards will be granted under the Company’s Amended and Restated 2012 Stock Incentive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ASC 718,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Stock Compensation </w:t>
      </w:r>
      <w:r>
        <w:rPr>
          <w:rFonts w:ascii="Times New Roman" w:hAnsi="Times New Roman"/>
          <w:caps w:val="false"/>
          <w:smallCaps w:val="false"/>
          <w:sz w:val="20"/>
        </w:rPr>
        <w:t>(“ASC 718”), requires that a company that issues equity as compensation record compensation expense that corresponds to the estimated cost of those equity grants. ASC 718 requires companies to estimate the fair value of stock-based payment awards on the date of grant using an option-pricing model or other acceptable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9, 2025, the Board of Directors, upon the recommendation of the Compensation Committee of the Board of Directors (the “Compensation Committee”), determined that it was appropriate to award restricted stock units (“RSUs”) as a form of compensation for employees, consultants and directors and approved a form of Restricted Stock Unit Award Agreement, with such awards to be granted under the Company’s 2024 Plan. Consistent with that determination, the Board of Directors approved the grant of 60,101 RSUs on September 9, 2025. Each RSU represented the right to receive one share of the Company’s common stock upon vesting. The RSUs contained a service-based vesting condition requiring continued service through October 31, 2025, at which point the RSUs vested in full. The RSUs were settled on November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10, 2025, the Company entered into an amendment to the employment agreement with Raymond F. Vennare dated as of November 1, 2022. Pursuant to the amendment and following approval by the Compensation Committee, Mr. Vennare was awarded 20,000 RSUs. The RSUs contained a service-based vesting condition requiring continued service through January 1, 2026, at which point the RSUs vested in full. The RSUs were settled on February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33,330 additional RSUs were granted to employees and consultants under the Company’s 2024 Plan. Each RSU represented the right to receive one share of the Company’s common stock upon vesting. The RSUs vested in full upon the RSU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RSU activity for the period indicated: </w:t>
      </w:r>
    </w:p>
    <w:p>
      <w:pPr>
        <w:pStyle w:val="TextBody"/>
        <w:bidi w:val="0"/>
        <w:spacing w:before="0" w:after="0"/>
        <w:ind w:left="0" w:right="0" w:hanging="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485"/>
        <w:gridCol w:w="60"/>
        <w:gridCol w:w="77"/>
        <w:gridCol w:w="842"/>
        <w:gridCol w:w="80"/>
        <w:gridCol w:w="60"/>
        <w:gridCol w:w="1065"/>
        <w:gridCol w:w="3244"/>
        <w:gridCol w:w="6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Grant Date Fair Value per RSU</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RSUs as of December 31,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6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RSUs as of June 30, 2026</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32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no unrecognized stock-based compensation expense related to RSUs that is expected to be recognized in a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the grant date fair value of options and warrants using a Black-Scholes option valuation model based upon assumptions regarding risk-free interest rate, expected dividend rate, volatility, and estimated term. There were 1,025,000 stock options granted for the six months ended June 30, 2026. There were no stock options granted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stock option activity for the period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2"/>
        <w:gridCol w:w="60"/>
        <w:gridCol w:w="60"/>
        <w:gridCol w:w="852"/>
        <w:gridCol w:w="80"/>
        <w:gridCol w:w="60"/>
        <w:gridCol w:w="207"/>
        <w:gridCol w:w="1403"/>
        <w:gridCol w:w="60"/>
        <w:gridCol w:w="60"/>
        <w:gridCol w:w="461"/>
        <w:gridCol w:w="2930"/>
        <w:gridCol w:w="60"/>
        <w:gridCol w:w="60"/>
        <w:gridCol w:w="210"/>
        <w:gridCol w:w="1427"/>
        <w:gridCol w:w="63"/>
      </w:tblGrid>
      <w:tr>
        <w:trPr/>
        <w:tc>
          <w:tcPr>
            <w:tcW w:w="2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Weighted-Average Remaining Contractual Term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ind w:left="0" w:right="0" w:hanging="0"/>
              <w:jc w:val="left"/>
              <w:rPr/>
            </w:pPr>
            <w:r>
              <w:rPr/>
              <w:t> </w:t>
            </w:r>
          </w:p>
        </w:tc>
        <w:tc>
          <w:tcPr>
            <w:tcW w:w="2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4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r>
      <w:tr>
        <w:trPr/>
        <w:tc>
          <w:tcPr>
            <w:tcW w:w="215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ind w:left="0" w:right="0" w:hanging="0"/>
              <w:jc w:val="left"/>
              <w:rPr/>
            </w:pPr>
            <w:r>
              <w:rPr/>
              <w:t> </w:t>
            </w:r>
          </w:p>
        </w:tc>
        <w:tc>
          <w:tcPr>
            <w:tcW w:w="2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5,372,100</w:t>
            </w:r>
          </w:p>
        </w:tc>
        <w:tc>
          <w:tcPr>
            <w:tcW w:w="63" w:type="dxa"/>
            <w:tcBorders/>
            <w:shd w:fill="FFFFFF" w:val="clear"/>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ind w:left="0" w:right="0" w:hanging="0"/>
              <w:jc w:val="left"/>
              <w:rPr/>
            </w:pPr>
            <w:r>
              <w:rPr/>
              <w:t> </w:t>
            </w:r>
          </w:p>
        </w:tc>
        <w:tc>
          <w:tcPr>
            <w:tcW w:w="2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4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r>
      <w:tr>
        <w:trPr/>
        <w:tc>
          <w:tcPr>
            <w:tcW w:w="215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ind w:left="0" w:right="0" w:hanging="0"/>
              <w:jc w:val="left"/>
              <w:rPr/>
            </w:pPr>
            <w:r>
              <w:rPr/>
              <w:t> </w:t>
            </w:r>
          </w:p>
        </w:tc>
        <w:tc>
          <w:tcPr>
            <w:tcW w:w="2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5,372,100</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each option grant for the six months ended June 30, 2026 and 2025, was estimated on the grant date using the Black-Scholes option valuation model with the following assumptions:</w:t>
      </w:r>
    </w:p>
    <w:p>
      <w:pPr>
        <w:pStyle w:val="TextBody"/>
        <w:bidi w:val="0"/>
        <w:spacing w:before="0" w:after="0"/>
        <w:ind w:left="0" w:right="0" w:hanging="0"/>
        <w:jc w:val="right"/>
        <w:rPr>
          <w:caps w:val="false"/>
          <w:smallCaps w:val="false"/>
        </w:rPr>
      </w:pPr>
      <w:r>
        <w:rPr>
          <w:caps w:val="false"/>
          <w:smallCaps w:val="false"/>
        </w:rPr>
        <w:t> </w:t>
      </w:r>
    </w:p>
    <w:tbl>
      <w:tblPr>
        <w:tblW w:w="5067" w:type="dxa"/>
        <w:jc w:val="left"/>
        <w:tblInd w:w="0" w:type="dxa"/>
        <w:tblLayout w:type="fixed"/>
        <w:tblCellMar>
          <w:top w:w="0" w:type="dxa"/>
          <w:left w:w="0" w:type="dxa"/>
          <w:bottom w:w="0" w:type="dxa"/>
          <w:right w:w="0" w:type="dxa"/>
        </w:tblCellMar>
      </w:tblPr>
      <w:tblGrid>
        <w:gridCol w:w="2525"/>
        <w:gridCol w:w="60"/>
        <w:gridCol w:w="72"/>
        <w:gridCol w:w="1400"/>
        <w:gridCol w:w="223"/>
        <w:gridCol w:w="72"/>
        <w:gridCol w:w="72"/>
        <w:gridCol w:w="458"/>
        <w:gridCol w:w="18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3"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 - 103.5</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 - 4.33</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22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3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$1.9 million of unrecognized stock-based compensation expense related to stock options that is expected to be recognized over the next approximately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net of forfeitures, recognized for the three and six months ended June 30, 2026, was $0.6 million and $0.7 million, respectively. There was no stock-based compensation expense recognized for the three and six months ended June 30, 2025. Such expense is included within general and administrative expenses in the condensed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13 </w:t>
      </w:r>
      <w:r>
        <w:rPr>
          <w:rFonts w:ascii="Times New Roman" w:hAnsi="Times New Roman"/>
          <w:smallCaps/>
          <w:sz w:val="20"/>
        </w:rPr>
        <w:t xml:space="preserve">– </w:t>
      </w:r>
      <w:r>
        <w:rPr>
          <w:rFonts w:ascii="Times New Roman" w:hAnsi="Times New Roman"/>
          <w:b/>
          <w:smallCaps/>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accounting requires the presentation of both basic and diluted earnings per share on the face of the statements of net loss. The Company calculates basic net loss per share based upon the weighted average number of common shares outstanding during the period, while the calculation of diluted earnings per share includes the dilutive effect of potential common shares outstanding during the period. The calculation of diluted earnings per share excludes all potential common shares, with the exception of pre-funded warrants, if their inclusion would have an anti-dilutive effect. A total of 9,972,424 pre-funded warrants is included in the computation of earnings per share because the exercise price of the pre-funded warrants is nominal and there are no conditions that must be satisfied prior to their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shares used in the basic and diluted loss per common share computations: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5"/>
        <w:gridCol w:w="60"/>
        <w:gridCol w:w="125"/>
        <w:gridCol w:w="1010"/>
        <w:gridCol w:w="80"/>
        <w:gridCol w:w="60"/>
        <w:gridCol w:w="125"/>
        <w:gridCol w:w="905"/>
        <w:gridCol w:w="80"/>
        <w:gridCol w:w="60"/>
        <w:gridCol w:w="125"/>
        <w:gridCol w:w="1010"/>
        <w:gridCol w:w="80"/>
        <w:gridCol w:w="60"/>
        <w:gridCol w:w="125"/>
        <w:gridCol w:w="905"/>
        <w:gridCol w:w="8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(1,978,896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19,685,811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17,167,696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8,136,008</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stock options, warrants and preferred stock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19,685,811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9,108,984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17,167,696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8,136,008</w:t>
            </w:r>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attributable to common stockholders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attributable to common stockholders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summary of the number of underlying shares outstanding at the end of the respective periods that have been excluded from the diluted calculations because the effect on loss per common share would have been anti-dilutive:</w:t>
            </w:r>
          </w:p>
        </w:tc>
      </w:tr>
    </w:tbl>
    <w:p>
      <w:pPr>
        <w:pStyle w:val="TextBody"/>
        <w:bidi w:val="0"/>
        <w:spacing w:before="0" w:after="0"/>
        <w:ind w:left="0" w:right="0" w:hanging="0"/>
        <w:jc w:val="left"/>
        <w:rPr>
          <w:caps w:val="false"/>
          <w:smallCaps w:val="false"/>
        </w:rPr>
      </w:pPr>
      <w:r>
        <w:rPr>
          <w:caps w:val="false"/>
          <w:smallCaps w:val="false"/>
        </w:rPr>
        <w:t> </w:t>
      </w:r>
    </w:p>
    <w:tbl>
      <w:tblPr>
        <w:tblW w:w="5836" w:type="dxa"/>
        <w:jc w:val="left"/>
        <w:tblInd w:w="0" w:type="dxa"/>
        <w:tblLayout w:type="fixed"/>
        <w:tblCellMar>
          <w:top w:w="0" w:type="dxa"/>
          <w:left w:w="0" w:type="dxa"/>
          <w:bottom w:w="0" w:type="dxa"/>
          <w:right w:w="0" w:type="dxa"/>
        </w:tblCellMar>
      </w:tblPr>
      <w:tblGrid>
        <w:gridCol w:w="1985"/>
        <w:gridCol w:w="60"/>
        <w:gridCol w:w="61"/>
        <w:gridCol w:w="871"/>
        <w:gridCol w:w="61"/>
        <w:gridCol w:w="61"/>
        <w:gridCol w:w="61"/>
        <w:gridCol w:w="716"/>
        <w:gridCol w:w="60"/>
        <w:gridCol w:w="60"/>
        <w:gridCol w:w="60"/>
        <w:gridCol w:w="845"/>
        <w:gridCol w:w="60"/>
        <w:gridCol w:w="60"/>
        <w:gridCol w:w="60"/>
        <w:gridCol w:w="695"/>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Three Months Ended</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1,027,918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42,113</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1,617,043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940,412</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Series B</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14 </w:t>
      </w:r>
      <w:r>
        <w:rPr>
          <w:rFonts w:ascii="Times New Roman" w:hAnsi="Times New Roman"/>
          <w:smallCaps/>
          <w:sz w:val="20"/>
        </w:rPr>
        <w:t xml:space="preserve">– </w:t>
      </w:r>
      <w:r>
        <w:rPr>
          <w:rFonts w:ascii="Times New Roman" w:hAnsi="Times New Roman"/>
          <w:b/>
          <w:smallCaps/>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has determined its operating segments in accordance with ASC 280, </w:t>
      </w:r>
      <w:r>
        <w:rPr>
          <w:rFonts w:ascii="Times New Roman" w:hAnsi="Times New Roman"/>
          <w:i/>
          <w:caps w:val="false"/>
          <w:smallCaps w:val="false"/>
          <w:sz w:val="20"/>
        </w:rPr>
        <w:t>Segment Reporting</w:t>
      </w:r>
      <w:r>
        <w:rPr>
          <w:rFonts w:ascii="Times New Roman" w:hAnsi="Times New Roman"/>
          <w:caps w:val="false"/>
          <w:smallCaps w:val="false"/>
          <w:sz w:val="20"/>
        </w:rPr>
        <w:t>. Factors used to determine the Company’s reportable segments include the availability of separate financial statements, the existence of separate leadership across business lines, the economic factors affecting each segment, and the evaluation of operating results at the segment level. The Company’s Chief Operating Decision Maker (“CODM”), its chief executive officer, allocates the Company’s resources for each of the operating segments and evaluates their relative performance based on losses from operations, operating loss, and net loss. Operating expenses are disaggregated by department for purposes of evaluating each segment’s performance. Each operating segment listed below has separate financial statements and locally based leadership that are evaluated based on the results of their respective segments. It should be noted that the operating segments below have different products and services.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two reportable segments, which have been delineated by business area: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Compute Services and Treasury Management segment: </w:t>
            </w:r>
            <w:r>
              <w:rPr>
                <w:rFonts w:ascii="Times New Roman" w:hAnsi="Times New Roman"/>
                <w:caps w:val="false"/>
                <w:smallCaps w:val="false"/>
                <w:sz w:val="20"/>
              </w:rPr>
              <w:t>provides services that include access to GPU compute capacity and manages the Company’s ATH treasury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Drug Discovery Services segment</w:t>
            </w:r>
            <w:r>
              <w:rPr>
                <w:rFonts w:ascii="Times New Roman" w:hAnsi="Times New Roman"/>
                <w:caps w:val="false"/>
                <w:smallCaps w:val="false"/>
                <w:sz w:val="20"/>
              </w:rPr>
              <w:t>: provides services that include the application of AI using its proprietary biobank of 150,000+ tumor samples, as well as creation of proprietary 3D culture models used in drug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described in </w:t>
      </w:r>
      <w:r>
        <w:rPr>
          <w:rFonts w:ascii="Times New Roman" w:hAnsi="Times New Roman"/>
          <w:i/>
          <w:caps w:val="false"/>
          <w:smallCaps w:val="false"/>
          <w:sz w:val="20"/>
        </w:rPr>
        <w:t xml:space="preserve">Note 3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the Company’s former Eagan operating segment met the criteria to be reported as discontinued operations for the first quarter of 2025. As such, the former Eagan operating segment is excluded from the tables below, which only reflect continuing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See discussion of revenue recognition in </w:t>
      </w:r>
      <w:r>
        <w:rPr>
          <w:rFonts w:ascii="Times New Roman" w:hAnsi="Times New Roman"/>
          <w:i/>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Summary of Significant Accounting Policies </w:t>
      </w:r>
      <w:r>
        <w:rPr>
          <w:rFonts w:ascii="Times New Roman" w:hAnsi="Times New Roman"/>
          <w:caps w:val="false"/>
          <w:smallCaps w:val="false"/>
          <w:sz w:val="20"/>
        </w:rPr>
        <w:t>for a description of the products and services recognized in each segment. All revenues are earned from external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the Company’s segment reporting as of the six months ended June 30, 2026, and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4490"/>
        <w:gridCol w:w="60"/>
        <w:gridCol w:w="125"/>
        <w:gridCol w:w="1055"/>
        <w:gridCol w:w="80"/>
        <w:gridCol w:w="60"/>
        <w:gridCol w:w="136"/>
        <w:gridCol w:w="1038"/>
        <w:gridCol w:w="60"/>
      </w:tblGrid>
      <w:tr>
        <w:trPr/>
        <w:tc>
          <w:tcPr>
            <w:tcW w:w="449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Compute Services and Treasury Management segment</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96,017,868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49,455,174</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(17,100,106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 Discovery Services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1,930,898</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121,261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Corporate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1,502,274</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7,777</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Total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100,375,956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52,888,346</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129,038</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(17,121,106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provides a reconciliation of segment revenue and loss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9380" w:type="dxa"/>
        <w:jc w:val="left"/>
        <w:tblInd w:w="0" w:type="dxa"/>
        <w:tblLayout w:type="fixed"/>
        <w:tblCellMar>
          <w:top w:w="0" w:type="dxa"/>
          <w:left w:w="0" w:type="dxa"/>
          <w:bottom w:w="0" w:type="dxa"/>
          <w:right w:w="0" w:type="dxa"/>
        </w:tblCellMar>
      </w:tblPr>
      <w:tblGrid>
        <w:gridCol w:w="4490"/>
        <w:gridCol w:w="60"/>
        <w:gridCol w:w="125"/>
        <w:gridCol w:w="1010"/>
        <w:gridCol w:w="80"/>
        <w:gridCol w:w="60"/>
        <w:gridCol w:w="125"/>
        <w:gridCol w:w="905"/>
        <w:gridCol w:w="80"/>
        <w:gridCol w:w="60"/>
        <w:gridCol w:w="125"/>
        <w:gridCol w:w="1010"/>
        <w:gridCol w:w="80"/>
        <w:gridCol w:w="60"/>
        <w:gridCol w:w="125"/>
        <w:gridCol w:w="905"/>
        <w:gridCol w:w="8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Compute Services and Treasury Management segment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and (losses)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operations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4,098,199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(18,497,187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(14,016,206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(18,497,187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 Discovery Services segment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112,992</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and (losses)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operations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1,876,810</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(1,763,818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(1,908,917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and (losses)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operations (a) (b)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3,183,097</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(2,388,747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(1,763,473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(4,650,586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(3,183,097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(2,388,747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(1,763,473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(3,183,097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Total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112,992</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and (losses)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operations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7,417,650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10,885,374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5,059,907</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(17,328,010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(25,056,691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433,580</w:t>
            </w:r>
          </w:p>
        </w:tc>
        <w:tc>
          <w:tcPr>
            <w:tcW w:w="8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Segment cost of operations includes cost of revenues, general and administrative expenses, research and development expenses, and sales and marketing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expenses include general and administrative costs, stock-based compensation, and other items not allocated to the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 xml:space="preserve">NOTE 15 </w:t>
      </w:r>
      <w:r>
        <w:rPr>
          <w:rFonts w:ascii="Times New Roman" w:hAnsi="Times New Roman"/>
          <w:smallCaps/>
          <w:sz w:val="20"/>
        </w:rPr>
        <w:t xml:space="preserve">– </w:t>
      </w:r>
      <w:r>
        <w:rPr>
          <w:rFonts w:ascii="Times New Roman" w:hAnsi="Times New Roman"/>
          <w:b/>
          <w:smallCaps/>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Significant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2026, the Company secured three new customer contracts with a total contract value of more than $2.8 billion across the United States and Europe. The agreements, secured through the Axe Compute Build program, expand Axe Compute’s design-deploy-own-operate model into additional geographies and add significant dedicated, large-scale AI infrastructure capacity to its global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ITEM 2. MANAGEMENT</w:t>
      </w:r>
      <w:r>
        <w:rPr>
          <w:rFonts w:ascii="Times New Roman" w:hAnsi="Times New Roman"/>
          <w:smallCaps/>
          <w:sz w:val="20"/>
        </w:rPr>
        <w:t>’</w:t>
      </w:r>
      <w:r>
        <w:rPr>
          <w:rFonts w:ascii="Times New Roman" w:hAnsi="Times New Roman"/>
          <w:b/>
          <w:smallCaps/>
          <w:sz w:val="20"/>
        </w:rPr>
        <w:t>S DISCUSSION AND ANALYSIS OF FINANCIAL CONDITION AND RESULTS OF OPERATIONS</w:t>
      </w:r>
      <w:bookmarkStart w:id="9" w:name="p1i2"/>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in conjunction with our unaudited condensed consolidated financial statements and the related notes thereto included elsewhere in this Quarterly Report on Form 10-Q for the quarterly period ended June 30, 2026, and our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information in this Quarterly Report on Form 10-Q includes forward-looking statements within the meaning of Section 27A of the Securities Act of 1933, as amended ("Securities Act") and Section 21E of the Securities Exchange Act of 1934, as amended ("Exchange Act"). All statements, other than statements of historical facts, including statements concerning our plans, objectives, goals, beliefs, business strategies, future events, business conditions, our results of operations, financial position and our business outlook, business trends and other information, may be forward-looking statements. You can identify these forward-looking statements by the words "believes," "intends," "expects," “might,” "may," "will," "should," "plans," "projects," "contemplates," "intends," "budgets," “potential,” "predicts," "estimates," "anticipates," “future,” “goal,” and variations of such words or similar expressions. These statements are based on our beliefs, as well as assumptions we have used based upon information currently available to us. Because these statements reflect our current views concerning future events, these statements involve risks, uncertainties, and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future results may differ materially from what is expressed in or indicated by the forward-looking statements. Factors that might cause such differences include, but are not limited to, those discussed in Part I, Item 1A, under the heading “Risk Factors,” in our Annual Report on Form 10-K for the year ended December 31, 2025 filed with the Securities and Exchange Commission (“SEC”) on March 31, 2026, and under “Part II, Item 1A., Risk Factors” in this Quarterly Report on Form 10-Q, if and as such risk factors may be updated from time to time in our periodic filings with the SEC. We may not actually achieve the plans, intentions or expectations disclosed in our forward-looking statements, and a reader, whether investing in our common stock or not, should not place undue reliance on these forward-looking statements. Our forward-looking statements do not reflect the potential impact of any future acquisitions, mergers, dispositions, joint ventures or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We assist customers across the full GPU infrastructure stack, including hardware procurement, colocation, networking, storage, and financing. We can also immediately access compute capacity through relationships with third party compute providers to provide customers compute capacity that is already online and available for rent. We also continue to evaluate strategic alternatives for our legacy oncology drug discovery business (the “Legacy Business”), including its proprietary biobank of tumor samples and historical drug response data, which is not part of our core compute infrastructure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Compute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revenue-generating activity is the provision of GPU compute to customers. We primarily provide compute services under two customer models: (1) designing and deploying customized, large scale compute infrastructure solutions for enterprise clients; and (2) providing immediate access to GPU capacity (in as fast as 24-48 hours) that is already online and available for rent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customers seeking large-scale, long-duration GPU compute capacity, we build and deploy dedicated compute infrastructure solutions. Under this model, customers contract for dedicated AI infrastructure tailored to their compute, performance, geographic, security, and operational requirements. We coordinate with customers to architect deployments that may include GPU compute, high-speed storage, networking, power infrastructure, and related managed services. Deployments are typically hosted in enterprise-grade data center facilities and are operated by us pursuant to service level commitments. We  intend to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customers that need immediate access to GPU compute capacity, we provide access to high-performance GPU compute infrastructure. Our access to third-party networks encompasses global locations and GPUs capable of supporting a broad range of artificial intelligence, machine learning, and high-performance computing workloads. Compute capacity is delivered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Drug Discovery Services / Legacy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of compute services is our priority and remains our focus. We also maintain our legacy oncology drug discovery solutions business, which was previously conducted under the Predictive Oncology Inc. name. Current operations in this business are limited, and we are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we announced that we are exploring strategic alternatives for this oncology drug discovery solutions business. However, as of the date of this Quarterly Report on Form 10-Q, our Board of Directors has not yet committed to a specific course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Compute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adopted a treasury strategy centered on ATH, the native utility token of the Aethir network. Aethir is a decentralized physical infrastructure network developed by DCI Foundation, a Panama foundation company ("DCI"), that aggregates enterprise-grade GPU resources to support artificial intelligence, cloud gaming and other compute-intensive workloads. ATH functions as a proxy for a unit of GPU compute power and serves as the medium of exchange and incentive mechanism for participants in the Aethir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this strategy, we maintain a Strategic Compute Reserve comprised primarily of ATH, which provides us with immediate access to GPU compute capacity that can be deployed to customers. As a holder of ATH, we accrue unrealized gains or losses from any appreciation or depreciation, as applicable, in the value of ATH tokens, which trade on various cryptocurrency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seek to generate value from our ATH holdings principally by utilizing ATH to procure GPU compute capacity on the Aethir network and reselling that capacity to enterprise, research, and commercial customers. We have not engaged in ATH staking to date and do not currently intend to stake ATH, although we may elect to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Strategic Compute Reserve is intended to create value for stockholders through:</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Maintaining access to GPU compute capacity through ownership of ATH;</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Deploying ATH to acquire compute capacity and reselling that capacity to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Opportunistically purchasing ATH in the open market, including receiving additional ATH incentives under the DCI agreement;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 yield through lending arrangements and other approved treasury activities;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Holding ATH as a strategic reserve to support future compute demand; and</w:t>
            </w:r>
          </w:p>
        </w:tc>
      </w:tr>
    </w:tbl>
    <w:p>
      <w:pPr>
        <w:pStyle w:val="TextBody"/>
        <w:bidi w:val="0"/>
        <w:spacing w:before="0" w:after="0"/>
        <w:ind w:left="0" w:right="0" w:hanging="0"/>
        <w:jc w:val="left"/>
        <w:rPr/>
      </w:pPr>
      <w:r>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ATH from time to time to support working capital requirements, operational needs or other corporate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value of ATH will increase, and investors should carefully consider the risks associated with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June 30, 2026, we appointed Kyle Okamoto as President effective April 1, 2026, and appointed Jeremy Yaukey-Witter as Chief Financial Officer effective May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22, 2026, we announced our entry into a 36-month enterprise infrastructure contract with an enterprise customer (the “April Agreement”). The April Agreement has an aggregate contract value of approximately $260 million. Under the April Agreement, we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April Agreement, we purchased technology equipment of $17.1 million in the quarter ended June 30, 2026. This technology equipment consists of GPU cluster infrastructure and is considered construction in progress as of June 30, 2026, and will begin depreciating when placed in service.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2026, in accordance with the terms of the ATM Sales Agreement with Wainwright, we determined to further increase the number of shares we may sell under the Sales Agreement up to an aggregate of $100.0 million, inclusive of approximately $17.0 million of shares previously sold under the Sales Agreement, and we filed an additional prospectus supplement with the SEC on May 15, 2026. The net proceeds from the shares offered and sold pursuant to the ATM Sales Agreement during the three months ended June 30, 2026, after deduction of commissions and offering expenses, were approximately $10.3 million. As of June 30, 2026, approximately $83.0 million remained available for sales under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2026, we secured three new customer contracts with a total contract value of more than $2.8 billion across the United States and Europe. The agreements, secured through the Axe Compute Build program, expand our design-deploy-own-operate model into additional geographies and add significant dedicated, large-scale AI infrastructure capacity to our global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we have incurred recurring losses and have not generated sufficient revenues to fund our operations. Historically, we have financed our activities through a combination of debt and equity financings. Since 2023, we have monetized certain assets and reduced operating expenses. In September 2025, we adopted the aforementioned treasury strategy, which introduced both new sources of capital and additional capital requirements. See “Liquidity and Capital Resources—Liquidity and Plan of Financing” and “Liquidity and Capital Resources—Financing Transactions”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we have approximately $21.9 million in cash and cash equivalents. Additionally, we also hold significant ATH digital assets, which may serve as an additional source of liquidity. However, the market price of ATH has exhibited significant volatility over recent periods and remains subject to rapid fluctuations driven by factors such as market sentiment, regulatory developments, network adoption, governance decisions of the Aethir Foundation, and broader crypto-asset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sources of liquidity include our at-the-market (“ATM”) facility, under which approximately $83.0 million remains available as of the prospectus supplement filed with the SEC on May 15, 2026, as well as a standby equity purchase agreement (“SEPA”) that allows us to sell up to $10.0 million of its common stock, in each case subject to the terms, conditions, and limitations of the respective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cash requirements and the adequacy of our available resources will depend on our ability to generate revenue from our compute services and treasury strategy, as well as our ability to access additional financing. We expect operating losses to continue in the near term as we scale these initiatives. Given our recent strategic shift, our future operating results are inherently uncertain, and period-to-period comparisons may not be indicative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250" w:type="dxa"/>
        <w:jc w:val="left"/>
        <w:tblInd w:w="0" w:type="dxa"/>
        <w:tblLayout w:type="fixed"/>
        <w:tblCellMar>
          <w:top w:w="0" w:type="dxa"/>
          <w:left w:w="0" w:type="dxa"/>
          <w:bottom w:w="0" w:type="dxa"/>
          <w:right w:w="0" w:type="dxa"/>
        </w:tblCellMar>
      </w:tblPr>
      <w:tblGrid>
        <w:gridCol w:w="3530"/>
        <w:gridCol w:w="60"/>
        <w:gridCol w:w="125"/>
        <w:gridCol w:w="1010"/>
        <w:gridCol w:w="80"/>
        <w:gridCol w:w="60"/>
        <w:gridCol w:w="125"/>
        <w:gridCol w:w="905"/>
        <w:gridCol w:w="80"/>
        <w:gridCol w:w="60"/>
        <w:gridCol w:w="125"/>
        <w:gridCol w:w="1010"/>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Difference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3,212,310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(losses) on digital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2,995,118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860,267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907,203</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(17,328,010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(2,659,868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(14,668,142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(15,226,986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(17,205,882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(15,135,420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250" w:type="dxa"/>
        <w:jc w:val="left"/>
        <w:tblInd w:w="0" w:type="dxa"/>
        <w:tblLayout w:type="fixed"/>
        <w:tblCellMar>
          <w:top w:w="0" w:type="dxa"/>
          <w:left w:w="0" w:type="dxa"/>
          <w:bottom w:w="0" w:type="dxa"/>
          <w:right w:w="0" w:type="dxa"/>
        </w:tblCellMar>
      </w:tblPr>
      <w:tblGrid>
        <w:gridCol w:w="3530"/>
        <w:gridCol w:w="60"/>
        <w:gridCol w:w="125"/>
        <w:gridCol w:w="1010"/>
        <w:gridCol w:w="80"/>
        <w:gridCol w:w="60"/>
        <w:gridCol w:w="125"/>
        <w:gridCol w:w="905"/>
        <w:gridCol w:w="80"/>
        <w:gridCol w:w="60"/>
        <w:gridCol w:w="125"/>
        <w:gridCol w:w="1010"/>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Difference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3,137,311</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(losses) on digital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(17,421,620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2,952,856</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3,703,855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1,941,103</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19,551</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911,957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(20,109,776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(20,650,514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249,024</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(20,401,490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We recognized revenue of $3.3 million for the six months ended June 30, 2026, compared to $0.1 million for the six months ended June 30, 2025. The increase was driven by a shift in our operating activities: revenue in the current period was generated primarily by our Compute Services and Treasury Management segment, while revenue in the prior-year period was attributable to our Drug Discovery Services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Gains (losses) on digital assets. </w:t>
      </w:r>
      <w:r>
        <w:rPr>
          <w:rFonts w:ascii="Times New Roman" w:hAnsi="Times New Roman"/>
          <w:caps w:val="false"/>
          <w:smallCaps w:val="false"/>
          <w:sz w:val="20"/>
        </w:rPr>
        <w:t>We recorded a loss on digital assets of $17.4 million in the six months ended June 30, 2026, with no such losses recorded in the comparative period. The losses in the 2026 period primarily represent the change in fair value of the Company’s ATH holdings, which were not present in the comparative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w:t>
      </w:r>
      <w:r>
        <w:rPr>
          <w:rFonts w:ascii="Times New Roman" w:hAnsi="Times New Roman"/>
          <w:caps w:val="false"/>
          <w:smallCaps w:val="false"/>
          <w:sz w:val="20"/>
        </w:rPr>
        <w:t>Cost of revenues was $3.0 million and $0.1 million in the six months ended June 30, 2026 and 2025, respectively. Similarly to revenue, cost of revenues increased due to a shift in our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 expenses.</w:t>
      </w:r>
      <w:r>
        <w:rPr>
          <w:rFonts w:ascii="Times New Roman" w:hAnsi="Times New Roman"/>
          <w:caps w:val="false"/>
          <w:smallCaps w:val="false"/>
          <w:sz w:val="20"/>
        </w:rPr>
        <w:t> General and administrative (“G&amp;A”) expenses primarily consist of management salaries, professional fees, consulting fees, administrative fees, and general office expenses. G&amp;A expenses increased by $1.9 million to $5.6 million in the six months ended June 30, 2026, compared to $3.7 million in the comparable period in 2025. The increase was primarily due to severance expense related to the prior Chief Executive Officer, higher payroll expenses resulting from salary increases for existing employees, hiring of additional employees related to the Compute Services and Treasury Management segment, and increased stock-based compensation expense recognized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xml:space="preserve"> Research and development expenses primarily consist of expenses related to product development, prototyping, and testing. Research and development expenses were stable at $1 million in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 expenses.</w:t>
      </w:r>
      <w:r>
        <w:rPr>
          <w:rFonts w:ascii="Times New Roman" w:hAnsi="Times New Roman"/>
          <w:caps w:val="false"/>
          <w:smallCaps w:val="false"/>
          <w:sz w:val="20"/>
        </w:rPr>
        <w:t> Sales and marketing expenses consist of expenses required to market and sell our products and services. Sales and marketing expenses increased by $0.9 million to $1.2 million in the six months ended June 30, 2026, compared to $0.3 million in the comparable period in 2025. The increase was primarily due to increased sales and marketing activities to support the expansion of our compute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w:t>
      </w:r>
      <w:r>
        <w:rPr>
          <w:rFonts w:ascii="Times New Roman" w:hAnsi="Times New Roman"/>
          <w:caps w:val="false"/>
          <w:smallCaps w:val="false"/>
          <w:sz w:val="20"/>
        </w:rPr>
        <w:t> We recognized other income of $0.1 million during the six months ended June 30, 2026, compared to $0.7 million in the comparable period in 2025. Other income in 2026 consisted of income from the Aethir lending arrangement and other income in 2025 consisted of the write-off of aged accounts payable and related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30, 2026, we had $21.9 million in cash and cash equivalents. Cash and cash equivalents from continuing operations increased by $11.1 million from December 31, 2025, due to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of continuing operations was $17.3 million in the six months ended June 30, 2026, compared to net cash used in operating activities of continuing operations of $4.3 million in the six months ended June 30, 2025. The cash provided by operating activities in the 2026 period was driven primarily by a $60.6 million increase in contract liabilities reflecting customer prepayments for compute capacity, partially offset by $34.1 million of compute prepayments and a $3.3 million increase in accounts receivable. Our net loss for the period included non-cash losses on digital assets of $17.4 million, which did not affect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used cash of $17.1 million in investing activities of continuing operations in the six months ended June 30, 2026, to acquire property and equipment. No cash was used in investing activities of continuing operations in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of continuing operations was $10.9 million in the six months ended June 30, 2026, compared to $3.2 million provided by financing activities of continuing operations in the six months ended June 30, 2025. Cash provided by financing activities of continuing operations in the 2026 period was primarily related to net proceeds of $10.8 million from the issuance of common stock and warrants, including sales under our at-the-market offering program. Cash provided by financing activities of continuing operations in the 2025 period was primarily related to proceeds from the issuance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cash was used or provided by discontinued operations in the six months ended June 30, 2026, compared to $0.8 million provided by discontinued operations in the six months ended June 30, 2025. The cash provided in the 2025 period related to proceeds from the sale of Eagan assets pursuant to the asset purchase agreement executed with DeRoyal in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Liquidity and Plan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is a measure of our ability to access sufficient cash flows to meet the short-term and long-term cash requirements of our business operations. We have incurred significant and recurring losses from operations for the past several years. As of June 30, 2026, and December 31, 2025, we had cash and cash equivalents of $21.9 million and $10.8 million, respectively, and working capital of $17.4 million and $38.5 million, respectively, and accumulated deficit of $438.4 million and $413.5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meet our short-term liquidity needs in the next twelve months, which are primarily comprised of working capital requirements, we have access to various sources of short-term liquidity including cash and cash equivalents and ATH tokens in our treasury. These include approximately 2.7 billion ATH tokens as of June 30, 2026, and an additional 1.6 billion ATH tokens expected to vest over the subsequent twelve-month period. Although we do not anticipate needing to use our ATH to meet our short-term liquidity needs, to the extent necessary, we may seek to use proceeds from the sale of our ATH to meet such needs. Additional sources of liquidity could include our ATM facility and the SEPA facility, subject to certain limitations and conditions associated with the respective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the ATM facility to be a viable source of incremental liquidity during fiscal year 2026, subject to market conditions. We do not assume immediate or full utilization of the ATM facility in our base-case liquidity forecast. Rather, ATM proceeds are considered a discretionary funding source that could be accessed opportunistically during periods of sufficient market liquidity and pricing stability. Based on current market conditions, we believe that any ATM issuances, if undertaken, would likely have potential to occur in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subsequent to June 30, 2026, the SEC declared effective our Form S-3 registration statement on July 20, 2026. The registration statement permits us to offer up to $1 billion of securities from time to time. No securities have been issued under the registration statement as of June 30, 2026; however, this registration statement allows for future financing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Beyond the next twelve months, our long-term liquidity needs are primarily for obligations related to working capital requirements. Our ability to meet these needs and the adequacy of available funds depend on our ability to generate income from our compute services and treasury strategy, and the availability of future financing to fulfill our business plans. We will also have access to an additional 1.6 billion ATH tokens expected to be vested beyond twelve months from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note that a significant portion of our liquidity is held in ATH, a digital asset, which has exhibited substantial price volatility over recent trailing 3-, 6-, and 9-month periods. We acknowledge that ATH prices are subject to rapid fluctuations due to factors including market sentiment, regulatory developments, network adoption, governance decisions of the Aethir Foundation, and broader crypto-asset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considered downside price scenarios in which the market price of ATH declines materially over the 12-month period following the balance sheet date. Under these scenarios, the U.S. dollar value of our ATH holdings available for liquidity purposes would be reduced, which has the potential to pressure our ability to fund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incorporated these possible scenarios when determining the our liquidity, however, we believe we have access to sufficient alternative liquidity sources, as noted above, to weather adverse ATH market price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Financing Transactions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primarily funded our operations through a combination of debt and equity instruments including short-term borrowings, and a variety of debt and equity offerings. We have no off-balance sheet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an ATM equity offering program pursuant to a Sales Agreement with Wainwright under which we may offer and sell shares of our common stock from time to time. In May 2026, we increased the capacity under the ATM program to an aggregate of $100.0 million. During the three months ended June 30, 2026, we received approximately $10.3 million of net proceeds from sales under the ATM program with the most recent bringdown occurring on April 27, 2026. As of June 30, 2026, approximately $83.0 million remained available for future issuances under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2025, we entered into a Standby Equity Purchase Agreement (“SEPA”) with YA II PN, Ltd. that provides us with the ability to sell up to $10.0 million of common stock from time to time, subject to the terms, conditions and limitations set forth in the agreement. The facility may provide an additional source of capital to support our operations and growth initiatives. As of June 30, 2026, we have not issued any shares or received any proceeds under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September 2025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2025, we completed private placement transactions consisting of a cash PIPE financing that generated gross proceeds of approximately $50.8 million and a crypto-denominated PIPE transaction for ATH digital assets with a discounted value of approximately $173.3 million. The transactions provided significant capital to support our operational, strategic, and treasury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See “Recent Accounting Pronouncements” and “Recently Adopted Accounting Standards” under </w:t>
      </w:r>
      <w:r>
        <w:rPr>
          <w:rFonts w:ascii="Times New Roman" w:hAnsi="Times New Roman"/>
          <w:i/>
          <w:caps w:val="false"/>
          <w:smallCaps w:val="false"/>
          <w:sz w:val="20"/>
        </w:rPr>
        <w:t xml:space="preserve">Note 2 - Summary of Significant Accounting Policies to the unaudited condensed financial statements of this Quarterly Report on Form 10-Q </w:t>
      </w:r>
      <w:r>
        <w:rPr>
          <w:rFonts w:ascii="Times New Roman" w:hAnsi="Times New Roman"/>
          <w:caps w:val="false"/>
          <w:smallCaps w:val="false"/>
          <w:sz w:val="20"/>
        </w:rPr>
        <w:t>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3. QUANTITATIVE AND QUALITATIVE DISCLOSURES ABOUT MARKET RISK</w:t>
      </w:r>
      <w:bookmarkStart w:id="10" w:name="p1i3"/>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4. CONTROLS AND PROCEDURES</w:t>
      </w:r>
      <w:bookmarkStart w:id="11" w:name="p1i4"/>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with the participation of our Chief Executive Officer and Chief Financial Officer, has evaluated the effectiveness of our disclosure controls and procedures, as defined in Rules 13a-15(e) and 15d-15(e) of the Securities Exchange Act of 1934, as of June 30, 2026. Based on that evaluation, our Chief Executive Officer and Chief Financial Officer concluded that our disclosure controls and procedures (as defined in Rules 13a-15(e) and 15d-15(e) under the Exchange Act)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June 30, 2026, the Company implemented new processes, controls, and procedures related to revenue recognition related to compute services and its digital asset and compute operations. These changes included enhancements to the Company’s policies, people, technologies, and operational processes designed to address the risks associated with digital asset activities as well as preventative and mitigating controls over the acquisition, custody, safeguarding, valuation, and financial reporting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Company continues to expand its digital asset and compute operations, management continues to enhance and refine certain processes and controls related to wallet management, custody arrangements, valuation methodologies, and related financial reporting activities in order to support the Company’s evolving operations and reporting requirements. Other than the changes described herein, there were no changes in the Company’s internal control over financial reporting (as defined in Exchange Act Rule 13a-15(f)) during the quarter ended June 30, 2026,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PART II. OTHER INFORMATION</w:t>
      </w:r>
      <w:bookmarkStart w:id="12" w:name="p2"/>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1. LEGAL PROCEEDINGS</w:t>
      </w:r>
      <w:bookmarkStart w:id="13" w:name="p2i1"/>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Information regarding our legal proceedings can be found in </w:t>
      </w:r>
      <w:r>
        <w:rPr>
          <w:rFonts w:ascii="Times New Roman" w:hAnsi="Times New Roman"/>
          <w:i/>
          <w:caps w:val="false"/>
          <w:smallCaps w:val="false"/>
          <w:sz w:val="20"/>
        </w:rPr>
        <w:t>Note 8, Contingencies</w:t>
      </w:r>
      <w:r>
        <w:rPr>
          <w:rFonts w:ascii="Times New Roman" w:hAnsi="Times New Roman"/>
          <w:caps w:val="false"/>
          <w:smallCaps w:val="false"/>
          <w:sz w:val="20"/>
        </w:rPr>
        <w:t>, to the unaudited condensed consolidated financial statements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1A. RISK FACTORS</w:t>
      </w:r>
      <w:bookmarkStart w:id="14" w:name="p2i1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set forth below, there have been no material changes to our risk factors from those disclosed under “Risk Factors” in Part I, Item 1A of our Annual Report on Form 10-K for the year ended December 31, 2025, filed with the SEC on March 31, 2026 (the “2025 Form 10-K”). On June 9, 2026, we filed a Current Report on Form 8-K furnishing supplemental risk factors that reflect our expansion into the purchase, ownership, and operation of GPU computing infrastructure deployed in data center facilities. The risk factors set forth below supplement and update the risk factors disclosed in the 2025 Form 10-K and should be read together with the risk factors and other information contained in the 2025 Form 10-K and our other filings with the SEC. To the extent the following is inconsistent with the risk factors in the 2025 Form 10-K, the following supersedes those risk factors. Any of the following risks could materially and adversely affect our business, financial condition, results of operations, and prospects, and the trading price of our common stock could decline. Additional risks and uncertainties not currently known to us or that we currently deem immaterial may also impair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Ownership and Operation of GPU Computing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expansion into owning and operating GPU computing infrastructure is capital-intensive and will require substantial and growing capital expenditures, and any inability to obtain capital on acceptable terms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pursued an asset-light operating model under which we did not own GPU computing hardware within physical data center facilities and instead provided access to GPU compute capacity primarily through infrastructure made available by the Aethir network. We have now expanded our business to purchase, own, and operate GPU computing hardware. This owned-asset model is substantially more capital-intensive than our prior model and will require significant and growing capital expenditures to procure, deploy, maintain, upgrade, and expand our infrastructure. We expect to fund these expenditures through a combination of customer deposits and prepayments, cash from operations, and equity and debt financing, which may not be available to us on favorable terms, or at all. If adequate financing is not available when required, we may be unable to acquire the hardware and infrastructure necessary to fulfill our customer commitments or execute our growth strategy. If we raise additional funds through equity or convertible securities, our existing stockholders may experience substantial dilution, and any such securities may have rights, preferences, and privileges senior to those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GPUs and related infrastructure we will now own are subject to rapid technological obsolescence, and our results of operations depend on our ability to accurately estimate their useful lives and to avoid impairment of these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Unlike our prior model, in which we did not own the underlying compute hardware, we now bear the full economic risk of the GPUs and related equipment we purchase. GPU technology is advancing rapidly, and newer generations of GPUs that offer materially better performance, efficiency, or total cost of ownership are introduced frequently. As a result, the GPUs and related infrastructure we will now own may become obsolete, decline in value, or generate lower pricing and utilization than we anticipate before the end of their expected useful lives. We must make estimates regarding the useful lives of our computing equipment and our ability to redeploy that equipment beyond the term of any initial customer contract, and we cannot guarantee that these estimates will prove accurate. If our assumptions regarding useful lives, residual values, redeployment, or utilization prove incorrect, or if events or changes in circumstances indicate that the carrying amount of our infrastructure may not be recoverable, we may be required to accelerate depreciation or record material impairment charges, which could materially and adversely affect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substantial portion of our compute revenue is expected to be derived from a limited number of customers and contracts, and the loss of, or non-performance by, any such customer would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that, for the foreseeable future, a substantial portion of our compute revenue will be concentrated among a small number of customers and contracts. This concentration exposes us to heightened counterparty credit risk and to the risk of non-payment or non-performance, including in the event a customer experiences financial difficulty, insolvency, or bankruptcy. Although our contract is structured on a take-or-pay basis and secured with a deposit, prepayment, and monthly in-advance payments, we cannot assure you that a customer will perform its obligations, that the definitive agreement will be enforceable in accordance with its terms, or that a customer will exercise any renewal option. The loss of, a default by, a dispute with, or a significant reduction in spending by any one of our major customers, or our inability to replace such revenue on comparable terms, could have a disproportionate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compute business depends on the operation of dedicated data center facilities, including the availability of reliable power and cooling, and operational failures at these facilities could materially disrupt our ability to serve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expanded business depends on deploying and operating owned GPU infrastructure within dedicated data center facilities. The performance, availability, and delivery of our services depend on numerous factors, many of which are outside our control, including the continued availability and functioning of power and cooling systems, the success or failure of redundancy, disaster recovery, and business continuity systems, and decisions or failures by the third-party owners and operators of the facilities in which our infrastructure is installed. Such data centers and associated infrastructure are also subject to risks of damage, interruption, or destruction from power outages, equipment failures, fires, floods, natural disasters, physical or cybersecurity attacks, human error, and other events. Because the deployment under our largest contract to date is concentrated in a single facility, any prolonged outage, capacity constraint, or other disruption affecting that facility could prevent us from meeting contracted service levels, expose us to service credits, penalties, or termination rights, and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could be harmed if we are unable to secure sufficient power, or by increases in the cost of power or the imposition of new regulatory requirements on data center power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owned GPU infrastructure requires access to substantial, reliable, and cost-effective electrical power; our largest deployment to date requires 4.8 megawatts of committed power capacity alone. The rapid expansion of AI and large-scale data center development has significantly increased electricity demand in certain markets, and policymakers, utilities, and regulators are increasingly scrutinizing the impact of data centers on ratepayers, grid reliability, and the environment. We may face power outages, shortages, capacity constraints, interconnection delays, or significant increases in the cost of securing power, any of which could limit our ability to operate or expand our infrastructure. In addition, governments may impose new requirements on data center operators, including obligations to fund grid upgrades, procure dedicated generation, enter into long-term capacity arrangements, accept curtailment during periods of grid stress, or satisfy additional permitting, carbon reporting, or cost-allocation requirements, and may restrict, condition, or delay new data center development. The global energy market has experienced significant volatility and inflationary pressure, and we expect power costs to remain volatile and unpredictable. Any of these developments could increase our operating costs, impair our ability to serve customers, delay our growth, and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on a limited number of suppliers, and primarily on NVIDIA, for the GPUs and other hardware we purchase, and any supply disruption, delay, or price increase could impair our ability to deploy infrastructure and fulfill customer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acquire and deploy owned GPU infrastructure depends on our ability to procure GPUs and related hardware in sufficient quantities, on acceptable terms, and within timeframes consistent with our customer commitments. We source GPU hardware primarily from NVIDIA, which is currently the dominant supplier of GPUs used for AI training and inference, and we do not manufacture any hardware ourselves. Reliance on a limited number of suppliers exposes us to a range of risks, including limited availability of the latest-generation components, lack of control over production costs, delivery, and pricing, extended or unpredictable lead times, the potential for binding price or purchase commitments at above-market rates, supplier prioritization of other customers, and shifts in market-leading technologies away from those offered by our current suppliers. Our suppliers in turn rely on complex networks of third-party suppliers, including semiconductor foundries such as Taiwan Semiconductor Manufacturing Company, and any disruption affecting these upstream suppliers, whether due to geopolitical factors, capacity constraints, or natural disasters, could affect the availability and cost of the hardware we require. The loss of or significant disruption to our access to NVIDIA GPU supply and related hardware, or material price increases or extended delivery lead times, could delay our deployments, including our targeted third-quarter 2026 deployment, reduce our available capacity, and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deploy our owned infrastructure on the timelines we have committed, and delays in deployment could result in penalties, lost revenue, or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largest contract to date contemplates a dedicated cluster purpose-built to the customer's specifications, with a targeted deployment start in the third quarter of 2026. The procurement, integration, configuration, and commissioning of large-scale GPU clusters and associated storage, networking, power, and cooling infrastructure is complex and subject to numerous potential points of failure, including hardware delivery delays, facility readiness, the availability of data center equipment such as switchgear, power distribution units, and cooling equipment, the availability of skilled labor, and dependence on third-party facility operators and contractors. Our forward-looking statements regarding deployment are subject to risks relating to the execution and enforceability of the definitive agreement, hardware supply chain constraints, and facility readiness. If we are unable to deploy contracted infrastructure on the agreed schedule, we may be subject to service credits, penalties, delayed or reduced revenue, customer disputes, termination rights, or reputational harm, any of which could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customer demand is insufficient to utilize the capacity we build, or if we are unable to redeploy infrastructure following the expiration or termination of a contract, we may not realize the expected returns on our capital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owned-asset model requires us to commit substantial capital to acquire and deploy infrastructure, often in advance of, or in reliance upon, specific customer contracts. Our expected returns depend on sustained customer demand and high utilization of the capacity we build. If a customer reduces its usage, does not renew or terminates its contract, or if we are otherwise unable to redeploy or resell capacity on economically attractive terms following the expiration of an initial contract term, we may experience underutilized capacity, stranded assets, reduced margins, or impairment charges. Because our infrastructure is purpose-built and concentrated, and because GPUs are subject to rapid obsolescence, we may be unable to repurpose assets for other customers or workloads without incurring additional cost or delay. Any failure to achieve sufficient utilization of our owned infrastructure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expect to incur indebtedness and to use secured or asset-backed financing structures to fund our infrastructure, and our leverage could adversely affect our financial condition and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fund the acquisition of GPU infrastructure, we may incur substantial indebtedness and may pursue secured financing arrangements, including asset-backed, equipment-financing, or other collateralized structures, in which our GPUs and related assets serve as collateral. Companies in our industry carry significant indebtedness and finance GPU purchases through delayed draw term loans, original equipment manufacturer financing arrangements, and similar structures secured by the depreciable cost of GPU servers. A substantial level of indebtedness could require us to dedicate a significant portion of our cash flow to debt service, increase our vulnerability to adverse economic and industry conditions, limit our ability to obtain additional financing, restrict our operational and strategic flexibility through restrictive covenants, and expose us to the risk of acceleration or foreclosure on pledged assets in the event of a default. The management of a more complex capital structure, including multiple layers of secured and unsecured debt with differing covenants, maturities, and priorities, could increase our financial and operational risks and heighten the risk of disputes among creditors. Rising or volatile interest rates would increase the cost of any floating-rate indebtedness, and we may be required to enter into interest rate hedging arrangements that may not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operating an owned-infrastructure GPU business, which makes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only recently expanded into purchasing, owning, and operating GPU computing infrastructure, and we have a limited operating history under this business model. Our prior compute model was asset-light and distributed, and the owned-infrastructure model requires different capabilities, including the procurement and lifecycle management of hardware, the operation of dedicated data center deployments, the management of large multi-year take-or-pay contracts, and the management of capital-intensive financing. Our limited experience delivering and managing longer-term, large-scale customer contracts may expose us to cost overruns, underutilized capacity, performance obligations, service-level commitments, and other contractual liabilities. As a result, our historical results are not indicative of our future performance, our future results may be difficult to predict and may fluctuate significantly from period to period, and you should consider our business and prospects in light of the risks and uncertainties frequently encountered by companies operating in new and rapidly evolving capital-intensive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energy and environmental demands of data centers and GPU compute infrastructure may constrain the growth of the compute market and result in increased regulatory costs or operational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Data centers are significant consumers of electrical power, and this level of energy consumption has attracted increasing scrutiny from regulators, utilities, and environmental groups, which may result in additional restrictions, permitting requirements, carbon reporting obligations, or energy surcharges that increase the cost of GPU compute infrastructure. Because we will now own and operate GPU computing infrastructure deployed in dedicated data center facilities that require substantial committed power, including 4.8 megawatts of dedicated power for our largest deployment to date, constraints on available power capacity, increases in the cost of power, and new regulatory or environmental requirements directly affect our operating costs and our ability to expand. In addition, reputational and environmental, social, and governance concerns relating to the energy and water footprint of AI compute infrastructure could adversely affect our business relationships, our access to capital, and our ability to obtain permits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Geopolitical tensions and trade restrictions, particularly between the United States and China, could disrupt GPU supply chains and limit our addressable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global GPU compute market depends heavily on complex international supply chains, including semiconductor manufacturing concentrated in Taiwan and South Korea, and geopolitical tensions between the United States and China have already resulted in restrictions on the export of certain advanced semiconductors, including certain NVIDIA GPU products. Because we will now own GPU hardware sourced primarily from NVIDIA, geopolitical tensions, tariffs, economic sanctions, and export controls directly affect the cost, availability, and delivery lead times of the GPUs and related components we acquire. Increasing use of tariffs and export controls has impacted, and may in the future impact, the availability and cost of GPUs and other components, and expansion or reinterpretation of U.S. export controls covering advanced computing hardware could limit the availability of components or require reconfiguration of our deployment plans. Any such disruption could increase our procurement costs, delay our deployments, including our targeted third-quarter 2026 deployment, and materially and adversely affect our compute business and our ability to execute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Demand for GPU compute is highly concentrated, and a slowdown in AI-related spending or the development of excess industry capacity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portion of current and projected demand for GPU compute infrastructure is driven by a small number of large technology companies and government-sponsored AI programs, and any significant reduction in their capital expenditures could have a disproportionately negative impact on the broader GPU compute market. In addition, a substantial portion of our own compute revenue is now expected to be derived from a limited number of customers and contracts, including our recently announced approximately $260 million enterprise engagement. A slowdown, deferral, or reprioritization of AI-related customer spending, or the development of excess industry capacity if anticipated AI workloads do not materialize, could result in pricing pressure, reduced utilization, longer sales cycles, contract renegotiations, or impairment charges, any of which could be magnified by the capital-intensive, owned-asset nature of our expanded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Advances in AI model efficiency could reduce demand for GPU compute, adversely affecting the value of our compute business and our owned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key driver of demand for GPU compute is the scale required to train and run AI models, and consistent advances in AI model efficiency — such as new architectures, training techniques, or algorithmic improvements that achieve equivalent or superior results using significantly less compute — could substantially reduce demand for raw GPU compute capacity. Because we will own GPU hardware rather than relying solely on a distributed network, a significant and sustained reduction in GPU compute demand could reduce the utilization, pricing, and resale or redeployment value of our owned infrastructure, and could require us to recognize accelerated depreciation or impairment charges, in addition to adversely affecting the value of our ATH treasury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Security breaches and other disruptions affecting our infrastructure or the facilities in which it is housed could compromise sensitive information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requires that we collect and store sensitive data, and our information technology and infrastructure are susceptible to attacks by hackers, viruses, employee error, malfeasance, or other activities. In addition, our owned GPU computing infrastructure and the data center facilities in which it is deployed are subject to physical and cybersecurity risks, including attacks by outside parties (whether private or state-backed), human error, malfeasance, insider threats, system vulnerabilities, and inadequate security controls, any of which could result in service outages, unauthorized access to or loss of customer data and workloads, or damage to our infrastructure. Our enterprise customers contract for dedicated infrastructure in part to ensure that their proprietary data remains within a controlled facility boundary, and any physical or cybersecurity incident affecting our infrastructure or the facilities in which it is housed could expose us to service-level penalties, contractual liability, loss of customers, regulatory exposure,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and communications systems, or the infrastructure and facilities on which our compute business depends, fail or experience a significant interruption,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efficient operation of our business is dependent on information technology and communications systems, the failure of which could disrupt our business and result in decreased revenue and increased overhead costs. Our expanded business further depends on the continuous operation of owned GPU computing infrastructure housed in third-party data center facilities, and the availability and performance of that infrastructure depend on power, cooling, network connectivity, redundancy systems (including N+1 redundant power), and the performance of the third-party operators of the facilities in which our equipment is installed. The failure of any of these systems or services, including any failure of redundancy or disaster recovery measures, could prevent us from meeting contracted service levels and could materially and adversely affect our reputation,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expansion into owned GPU infrastructure has materially increased our capital requirements and our dependence on external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history of negative operating cash flows and have funded our operations in part through at-the-market and private placement equity financings, with a significant portion of our liquidity held in ATH, a digital asset whose market price has exhibited substantial volatility. Our expansion into purchasing and owning GPU computing infrastructure has materially increased our capital expenditure requirements and our dependence on external financing, and our liquidity needs are now driven in part by the substantial upfront and ongoing costs of acquiring, deploying, maintaining, and expanding owned hardware and data center capacity. Although our largest contract to date is supported by a customer deposit, prepayment, and monthly in-advance payments on a take-or-pay basis, these amounts may be insufficient to fund our capital requirements, and our reliance on volatile sources of liquidity, including the price of ATH, may further constrain our ability to fund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2. UNREGISTERED SALES OF EQUITY SECURITIES AND USE OF PROCEEDS</w:t>
      </w:r>
      <w:bookmarkStart w:id="15" w:name="p2i2"/>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there were no unregistered sales of securities that were not reported on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3. DEFAULTS UPON SENIOR SECURITIES</w:t>
      </w:r>
      <w:bookmarkStart w:id="16" w:name="p2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4. MINE SAFETY DISCLOSURES</w:t>
      </w:r>
      <w:bookmarkStart w:id="17" w:name="p2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5. OTHER INFORMATION</w:t>
      </w:r>
      <w:bookmarkStart w:id="18" w:name="p2i5"/>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ITEM 6. EXHIBITS</w:t>
      </w:r>
      <w:bookmarkStart w:id="19" w:name="p2i6"/>
      <w:bookmarkEnd w:id="19"/>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2"/>
        <w:gridCol w:w="9183"/>
      </w:tblGrid>
      <w:tr>
        <w:trPr/>
        <w:tc>
          <w:tcPr>
            <w:tcW w:w="1022"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9183"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1022"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10.1</w:t>
              </w:r>
            </w:hyperlink>
          </w:p>
        </w:tc>
        <w:tc>
          <w:tcPr>
            <w:tcW w:w="9183" w:type="dxa"/>
            <w:tcBorders/>
            <w:vAlign w:val="center"/>
          </w:tcPr>
          <w:p>
            <w:pPr>
              <w:pStyle w:val="TableContents"/>
              <w:bidi w:val="0"/>
              <w:spacing w:before="0" w:after="283"/>
              <w:jc w:val="left"/>
              <w:rPr/>
            </w:pPr>
            <w:hyperlink r:id="rId3">
              <w:r>
                <w:rPr>
                  <w:rStyle w:val="InternetLink"/>
                  <w:rFonts w:ascii="Times New Roman;Times;serif" w:hAnsi="Times New Roman;Times;serif"/>
                  <w:sz w:val="20"/>
                  <w:u w:val="single"/>
                </w:rPr>
                <w:t>Employment Agreement, dated April 1, 2026, by and between the Company and Kyle Okamoto (Filed on April 1, 2026 as an exhibit to our Current Report on Form 8-K and incorporated herein by reference.)</w:t>
              </w:r>
            </w:hyperlink>
          </w:p>
        </w:tc>
      </w:tr>
      <w:tr>
        <w:trPr/>
        <w:tc>
          <w:tcPr>
            <w:tcW w:w="1022"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10.2</w:t>
              </w:r>
            </w:hyperlink>
          </w:p>
        </w:tc>
        <w:tc>
          <w:tcPr>
            <w:tcW w:w="9183" w:type="dxa"/>
            <w:tcBorders/>
            <w:vAlign w:val="center"/>
          </w:tcPr>
          <w:p>
            <w:pPr>
              <w:pStyle w:val="TableContents"/>
              <w:bidi w:val="0"/>
              <w:spacing w:before="0" w:after="283"/>
              <w:jc w:val="left"/>
              <w:rPr/>
            </w:pPr>
            <w:hyperlink r:id="rId5">
              <w:r>
                <w:rPr>
                  <w:rStyle w:val="InternetLink"/>
                  <w:rFonts w:ascii="Times New Roman;Times;serif" w:hAnsi="Times New Roman;Times;serif"/>
                  <w:sz w:val="20"/>
                  <w:u w:val="single"/>
                </w:rPr>
                <w:t>Stock Option Inducement Award Agreement, dated April 1, 2026, by and between the Company and Kyle Okamoto (Filed on April 1, 2026 as an exhibit to our Current Report on Form 8-K and incorporated herein by reference.)</w:t>
              </w:r>
            </w:hyperlink>
          </w:p>
        </w:tc>
      </w:tr>
      <w:tr>
        <w:trPr/>
        <w:tc>
          <w:tcPr>
            <w:tcW w:w="1022"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10.3</w:t>
              </w:r>
            </w:hyperlink>
          </w:p>
        </w:tc>
        <w:tc>
          <w:tcPr>
            <w:tcW w:w="9183" w:type="dxa"/>
            <w:tcBorders/>
            <w:vAlign w:val="center"/>
          </w:tcPr>
          <w:p>
            <w:pPr>
              <w:pStyle w:val="TableContents"/>
              <w:bidi w:val="0"/>
              <w:spacing w:before="0" w:after="283"/>
              <w:jc w:val="left"/>
              <w:rPr/>
            </w:pPr>
            <w:hyperlink r:id="rId7">
              <w:r>
                <w:rPr>
                  <w:rStyle w:val="InternetLink"/>
                  <w:rFonts w:ascii="Times New Roman;Times;serif" w:hAnsi="Times New Roman;Times;serif"/>
                  <w:sz w:val="20"/>
                  <w:u w:val="single"/>
                </w:rPr>
                <w:t>Employment Agreement, dated April 16, 2026, by and between the Company and Jeremy Yaukey-Witter (Filed on April 16, 2026 as an exhibit to our Current Report on Form 8-K and incorporated herein by reference.)</w:t>
              </w:r>
            </w:hyperlink>
          </w:p>
        </w:tc>
      </w:tr>
      <w:tr>
        <w:trPr/>
        <w:tc>
          <w:tcPr>
            <w:tcW w:w="1022"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10.4</w:t>
              </w:r>
            </w:hyperlink>
          </w:p>
        </w:tc>
        <w:tc>
          <w:tcPr>
            <w:tcW w:w="9183" w:type="dxa"/>
            <w:tcBorders/>
            <w:vAlign w:val="center"/>
          </w:tcPr>
          <w:p>
            <w:pPr>
              <w:pStyle w:val="TableContents"/>
              <w:bidi w:val="0"/>
              <w:spacing w:before="0" w:after="283"/>
              <w:jc w:val="left"/>
              <w:rPr/>
            </w:pPr>
            <w:hyperlink r:id="rId9">
              <w:r>
                <w:rPr>
                  <w:rStyle w:val="InternetLink"/>
                  <w:rFonts w:ascii="Times New Roman;Times;serif" w:hAnsi="Times New Roman;Times;serif"/>
                  <w:sz w:val="20"/>
                  <w:u w:val="single"/>
                </w:rPr>
                <w:t>Stock Option Inducement Award Agreement, dated April 16, 2026, by and between the Company and Jeremy Yaukey-Witter (Filed on April 16, 2026 as an exhibit to our Current Report on Form 8-K and incorporated herein by reference.)</w:t>
              </w:r>
            </w:hyperlink>
          </w:p>
        </w:tc>
      </w:tr>
      <w:tr>
        <w:trPr/>
        <w:tc>
          <w:tcPr>
            <w:tcW w:w="1022" w:type="dxa"/>
            <w:tcBorders/>
            <w:vAlign w:val="center"/>
          </w:tcPr>
          <w:p>
            <w:pPr>
              <w:pStyle w:val="TableContents"/>
              <w:bidi w:val="0"/>
              <w:spacing w:before="0" w:after="0"/>
              <w:ind w:left="0" w:right="0" w:hanging="0"/>
              <w:jc w:val="both"/>
              <w:rPr/>
            </w:pPr>
            <w:hyperlink w:anchor="ex_1000084.htm">
              <w:r>
                <w:rPr>
                  <w:rStyle w:val="InternetLink"/>
                  <w:rFonts w:ascii="Times New Roman;Times;serif" w:hAnsi="Times New Roman;Times;serif"/>
                  <w:caps w:val="false"/>
                  <w:smallCaps w:val="false"/>
                  <w:sz w:val="20"/>
                </w:rPr>
                <w:t>31.1*</w:t>
              </w:r>
            </w:hyperlink>
          </w:p>
        </w:tc>
        <w:tc>
          <w:tcPr>
            <w:tcW w:w="9183" w:type="dxa"/>
            <w:tcBorders/>
            <w:vAlign w:val="center"/>
          </w:tcPr>
          <w:p>
            <w:pPr>
              <w:pStyle w:val="TableContents"/>
              <w:bidi w:val="0"/>
              <w:spacing w:before="0" w:after="0"/>
              <w:ind w:left="0" w:right="0" w:hanging="0"/>
              <w:jc w:val="both"/>
              <w:rPr/>
            </w:pPr>
            <w:hyperlink w:anchor="ex_1000084.htm">
              <w:r>
                <w:rPr>
                  <w:rStyle w:val="InternetLink"/>
                  <w:rFonts w:ascii="Times New Roman;Times;serif" w:hAnsi="Times New Roman;Times;serif"/>
                  <w:caps w:val="false"/>
                  <w:smallCaps w:val="false"/>
                  <w:sz w:val="20"/>
                </w:rPr>
                <w:t>Certification of Principal Executive Officer pursuant to Section 302 of the Sarbanes-Oxley Act of 2002.</w:t>
              </w:r>
            </w:hyperlink>
          </w:p>
        </w:tc>
      </w:tr>
      <w:tr>
        <w:trPr/>
        <w:tc>
          <w:tcPr>
            <w:tcW w:w="1022" w:type="dxa"/>
            <w:tcBorders/>
            <w:vAlign w:val="center"/>
          </w:tcPr>
          <w:p>
            <w:pPr>
              <w:pStyle w:val="TableContents"/>
              <w:bidi w:val="0"/>
              <w:spacing w:before="0" w:after="0"/>
              <w:ind w:left="0" w:right="0" w:hanging="0"/>
              <w:jc w:val="both"/>
              <w:rPr/>
            </w:pPr>
            <w:hyperlink w:anchor="ex_1000085.htm">
              <w:r>
                <w:rPr>
                  <w:rStyle w:val="InternetLink"/>
                  <w:rFonts w:ascii="Times New Roman;Times;serif" w:hAnsi="Times New Roman;Times;serif"/>
                  <w:caps w:val="false"/>
                  <w:smallCaps w:val="false"/>
                  <w:sz w:val="20"/>
                </w:rPr>
                <w:t>31.2*</w:t>
              </w:r>
            </w:hyperlink>
          </w:p>
        </w:tc>
        <w:tc>
          <w:tcPr>
            <w:tcW w:w="9183" w:type="dxa"/>
            <w:tcBorders/>
            <w:vAlign w:val="center"/>
          </w:tcPr>
          <w:p>
            <w:pPr>
              <w:pStyle w:val="TableContents"/>
              <w:bidi w:val="0"/>
              <w:spacing w:before="0" w:after="0"/>
              <w:ind w:left="0" w:right="0" w:hanging="0"/>
              <w:jc w:val="both"/>
              <w:rPr/>
            </w:pPr>
            <w:hyperlink w:anchor="ex_1000085.htm">
              <w:r>
                <w:rPr>
                  <w:rStyle w:val="InternetLink"/>
                  <w:rFonts w:ascii="Times New Roman;Times;serif" w:hAnsi="Times New Roman;Times;serif"/>
                  <w:caps w:val="false"/>
                  <w:smallCaps w:val="false"/>
                  <w:sz w:val="20"/>
                </w:rPr>
                <w:t>Certification of Principal Financial Officer pursuant to Section 302 of the Sarbanes-Oxley Act of 2002.</w:t>
              </w:r>
            </w:hyperlink>
          </w:p>
        </w:tc>
      </w:tr>
      <w:tr>
        <w:trPr/>
        <w:tc>
          <w:tcPr>
            <w:tcW w:w="1022" w:type="dxa"/>
            <w:tcBorders/>
            <w:vAlign w:val="center"/>
          </w:tcPr>
          <w:p>
            <w:pPr>
              <w:pStyle w:val="TableContents"/>
              <w:bidi w:val="0"/>
              <w:spacing w:before="0" w:after="0"/>
              <w:ind w:left="0" w:right="0" w:hanging="0"/>
              <w:jc w:val="both"/>
              <w:rPr/>
            </w:pPr>
            <w:hyperlink w:anchor="ex_1000086.htm">
              <w:r>
                <w:rPr>
                  <w:rStyle w:val="InternetLink"/>
                  <w:rFonts w:ascii="Times New Roman;Times;serif" w:hAnsi="Times New Roman;Times;serif"/>
                  <w:caps w:val="false"/>
                  <w:smallCaps w:val="false"/>
                  <w:sz w:val="20"/>
                </w:rPr>
                <w:t>32.1**</w:t>
              </w:r>
            </w:hyperlink>
          </w:p>
        </w:tc>
        <w:tc>
          <w:tcPr>
            <w:tcW w:w="9183" w:type="dxa"/>
            <w:tcBorders/>
            <w:vAlign w:val="center"/>
          </w:tcPr>
          <w:p>
            <w:pPr>
              <w:pStyle w:val="TableContents"/>
              <w:bidi w:val="0"/>
              <w:spacing w:before="0" w:after="0"/>
              <w:ind w:left="0" w:right="0" w:hanging="0"/>
              <w:jc w:val="both"/>
              <w:rPr/>
            </w:pPr>
            <w:hyperlink w:anchor="ex_1000086.htm">
              <w:r>
                <w:rPr>
                  <w:rStyle w:val="InternetLink"/>
                  <w:rFonts w:ascii="Times New Roman;Times;serif" w:hAnsi="Times New Roman;Times;serif"/>
                  <w:caps w:val="false"/>
                  <w:smallCaps w:val="false"/>
                  <w:sz w:val="20"/>
                </w:rPr>
                <w:t>Certification of Principal Executive Officer and Principal Financial Officer pursuant to Section 906 of the Sarbanes-Oxley Act of 2002.</w:t>
              </w:r>
            </w:hyperlink>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102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1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SIGNATURES</w:t>
      </w:r>
      <w:bookmarkStart w:id="20" w:name="SIGNATURES"/>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865"/>
        <w:gridCol w:w="320"/>
        <w:gridCol w:w="1940"/>
        <w:gridCol w:w="75"/>
      </w:tblGrid>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AXE COMPUTE INC.</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Christopher Miglino</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Miglino</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865"/>
        <w:gridCol w:w="320"/>
        <w:gridCol w:w="2075"/>
        <w:gridCol w:w="75"/>
      </w:tblGrid>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Yaukey-Witter</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Jeremy Yaukey-Witter</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39</w:t>
      </w:r>
    </w:p>
    <w:p>
      <w:pPr>
        <w:pStyle w:val="TextBody"/>
        <w:bidi w:val="0"/>
        <w:spacing w:before="0" w:after="0"/>
        <w:ind w:left="0" w:right="0" w:hanging="0"/>
        <w:jc w:val="right"/>
        <w:rPr>
          <w:rFonts w:ascii="Times New Roman" w:hAnsi="Times New Roman"/>
          <w:b/>
          <w:caps w:val="false"/>
          <w:smallCaps w:val="false"/>
          <w:sz w:val="20"/>
        </w:rPr>
      </w:pPr>
      <w:bookmarkStart w:id="21" w:name="ex_1000084.htm"/>
      <w:bookmarkStart w:id="22" w:name="ksex_1000084"/>
      <w:bookmarkEnd w:id="21"/>
      <w:bookmarkEnd w:id="22"/>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Christopher Miglino, certify that:</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70"/>
        <w:gridCol w:w="60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Axe Compute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865"/>
        <w:gridCol w:w="1940"/>
        <w:gridCol w:w="75"/>
      </w:tblGrid>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Christopher Miglino</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Miglino</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smallCaps/>
        </w:rPr>
      </w:pPr>
      <w:r>
        <w:rPr>
          <w:smallCaps/>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1000085.htm"/>
      <w:bookmarkStart w:id="24" w:name="ksex_1000085"/>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Jeremy Yaukey-Witter, certify that:</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70"/>
        <w:gridCol w:w="60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Axe Compute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865"/>
        <w:gridCol w:w="2075"/>
        <w:gridCol w:w="75"/>
      </w:tblGrid>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Yaukey-Witter</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Jeremy Yaukey-Witter</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mallCaps/>
        </w:rPr>
      </w:pPr>
      <w:r>
        <w:rPr>
          <w:smallCaps/>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1000086.htm"/>
      <w:bookmarkStart w:id="26" w:name="ksex_1000086"/>
      <w:bookmarkEnd w:id="25"/>
      <w:bookmarkEnd w:id="26"/>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Axe Compute Inc. (the “Company”) for the quarter ended June 30, 2026 as filed with the Securities and Exchange Commission (the “Report”), I, Christopher Miglino, Chief Executive Officer (Principal Executive Officer) and, I, Jeremy Yaukey-Witter, Chief Financial Officer (Principal Financial Officer) of the Company, hereby certify as of the date hereof, solely for purposes of § 906 of the Sarbanes-Oxley Act of 2002, 18 U.S.C. § 1350,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tbl>
      <w:tblPr>
        <w:tblW w:w="4224" w:type="dxa"/>
        <w:jc w:val="left"/>
        <w:tblInd w:w="0" w:type="dxa"/>
        <w:tblLayout w:type="fixed"/>
        <w:tblCellMar>
          <w:top w:w="0" w:type="dxa"/>
          <w:left w:w="0" w:type="dxa"/>
          <w:bottom w:w="0" w:type="dxa"/>
          <w:right w:w="0" w:type="dxa"/>
        </w:tblCellMar>
      </w:tblPr>
      <w:tblGrid>
        <w:gridCol w:w="1865"/>
        <w:gridCol w:w="2272"/>
        <w:gridCol w:w="87"/>
      </w:tblGrid>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227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Christopher Miglino</w:t>
            </w:r>
          </w:p>
        </w:tc>
        <w:tc>
          <w:tcPr>
            <w:tcW w:w="87"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Christopher Miglino</w:t>
            </w:r>
          </w:p>
        </w:tc>
        <w:tc>
          <w:tcPr>
            <w:tcW w:w="87"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0" w:type="dxa"/>
          <w:right w:w="0" w:type="dxa"/>
        </w:tblCellMar>
      </w:tblPr>
      <w:tblGrid>
        <w:gridCol w:w="1865"/>
        <w:gridCol w:w="2219"/>
        <w:gridCol w:w="80"/>
      </w:tblGrid>
      <w:tr>
        <w:trPr/>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14, 2026</w:t>
            </w:r>
          </w:p>
        </w:tc>
        <w:tc>
          <w:tcPr>
            <w:tcW w:w="221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Yaukey-Witter</w:t>
            </w:r>
          </w:p>
        </w:tc>
        <w:tc>
          <w:tcPr>
            <w:tcW w:w="8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1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Jeremy Yaukey-Witter</w:t>
            </w:r>
          </w:p>
        </w:tc>
        <w:tc>
          <w:tcPr>
            <w:tcW w:w="8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6159/000117184326002182/exh_101.htm" TargetMode="External"/><Relationship Id="rId3" Type="http://schemas.openxmlformats.org/officeDocument/2006/relationships/hyperlink" Target="http://www.sec.gov/Archives/edgar/data/1446159/000117184326002182/exh_101.htm" TargetMode="External"/><Relationship Id="rId4" Type="http://schemas.openxmlformats.org/officeDocument/2006/relationships/hyperlink" Target="http://www.sec.gov/Archives/edgar/data/1446159/000117184326002182/exh_102.htm" TargetMode="External"/><Relationship Id="rId5" Type="http://schemas.openxmlformats.org/officeDocument/2006/relationships/hyperlink" Target="http://www.sec.gov/Archives/edgar/data/1446159/000117184326002182/exh_102.htm" TargetMode="External"/><Relationship Id="rId6" Type="http://schemas.openxmlformats.org/officeDocument/2006/relationships/hyperlink" Target="http://www.sec.gov/Archives/edgar/data/1446159/000117184326002517/exh_101.htm" TargetMode="External"/><Relationship Id="rId7" Type="http://schemas.openxmlformats.org/officeDocument/2006/relationships/hyperlink" Target="http://www.sec.gov/Archives/edgar/data/1446159/000117184326002517/exh_101.htm" TargetMode="External"/><Relationship Id="rId8" Type="http://schemas.openxmlformats.org/officeDocument/2006/relationships/hyperlink" Target="http://www.sec.gov/Archives/edgar/data/1446159/000117184326002517/exh_102.htm" TargetMode="External"/><Relationship Id="rId9" Type="http://schemas.openxmlformats.org/officeDocument/2006/relationships/hyperlink" Target="http://www.sec.gov/Archives/edgar/data/1446159/000117184326002517/exh_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20760</Words>
  <Characters>118157</Characters>
  <CharactersWithSpaces>140407</CharactersWithSpaces>
  <Paragraphs>5799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