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426.htm"/>
      <w:bookmarkStart w:id="1" w:name="ksf8k_0814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14, 2026</w:t>
      </w:r>
    </w:p>
    <w:p>
      <w:pPr>
        <w:pStyle w:val="TextBody"/>
        <w:bidi w:val="0"/>
        <w:jc w:val="center"/>
        <w:rPr/>
      </w:pPr>
      <w:r>
        <w:rPr/>
        <w:t>_______________________________</w:t>
      </w:r>
    </w:p>
    <w:p>
      <w:pPr>
        <w:pStyle w:val="TextBody"/>
        <w:bidi w:val="0"/>
        <w:spacing w:before="120" w:after="283"/>
        <w:jc w:val="center"/>
        <w:rPr>
          <w:b/>
          <w:sz w:val="24"/>
        </w:rPr>
      </w:pPr>
      <w:r>
        <w:rPr>
          <w:b/>
          <w:sz w:val="24"/>
        </w:rPr>
        <w:t>Axe Compute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001-36790</w:t>
            </w:r>
          </w:p>
        </w:tc>
        <w:tc>
          <w:tcPr>
            <w:tcW w:w="2900" w:type="dxa"/>
            <w:tcBorders/>
            <w:vAlign w:val="center"/>
          </w:tcPr>
          <w:p>
            <w:pPr>
              <w:pStyle w:val="TableContents"/>
              <w:bidi w:val="0"/>
              <w:spacing w:before="0" w:after="283"/>
              <w:jc w:val="center"/>
              <w:rPr>
                <w:b/>
                <w:sz w:val="20"/>
              </w:rPr>
            </w:pPr>
            <w:r>
              <w:rPr>
                <w:b/>
                <w:sz w:val="20"/>
              </w:rPr>
              <w:t>33-1007393</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91 43rd Street, Suite 110</w:t>
      </w:r>
    </w:p>
    <w:p>
      <w:pPr>
        <w:pStyle w:val="TextBody"/>
        <w:bidi w:val="0"/>
        <w:spacing w:before="0" w:after="0"/>
        <w:jc w:val="center"/>
        <w:rPr>
          <w:b/>
          <w:sz w:val="20"/>
        </w:rPr>
      </w:pPr>
      <w:r>
        <w:rPr>
          <w:b/>
          <w:sz w:val="20"/>
        </w:rPr>
        <w:t>Pittsburgh, Pennsylvania 15201</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(412) 432-1500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710" w:type="dxa"/>
        <w:jc w:val="left"/>
        <w:tblInd w:w="-10" w:type="dxa"/>
        <w:tblLayout w:type="fixed"/>
        <w:tblCellMar>
          <w:top w:w="28" w:type="dxa"/>
          <w:left w:w="28" w:type="dxa"/>
          <w:bottom w:w="28" w:type="dxa"/>
          <w:right w:w="0" w:type="dxa"/>
        </w:tblCellMar>
      </w:tblPr>
      <w:tblGrid>
        <w:gridCol w:w="2600"/>
        <w:gridCol w:w="1535"/>
        <w:gridCol w:w="3575"/>
      </w:tblGrid>
      <w:tr>
        <w:trPr/>
        <w:tc>
          <w:tcPr>
            <w:tcW w:w="2600"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120" w:after="120"/>
              <w:jc w:val="center"/>
              <w:rPr>
                <w:sz w:val="20"/>
              </w:rPr>
            </w:pPr>
            <w:r>
              <w:rPr>
                <w:sz w:val="20"/>
              </w:rPr>
              <w:t>Name of each exchange on which registered</w:t>
            </w:r>
          </w:p>
        </w:tc>
      </w:tr>
      <w:tr>
        <w:trPr/>
        <w:tc>
          <w:tcPr>
            <w:tcW w:w="260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Common stock, $0.01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AGPU</w:t>
            </w:r>
          </w:p>
        </w:tc>
        <w:tc>
          <w:tcPr>
            <w:tcW w:w="35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August 14, 2026, Axe Compute Inc. (the “Company”) issued a press release announcing its financial results for the quarterly period ended June 30, 2026. The Company is furnishing a copy of the press release, which is attached hereto as Exhibit 99.1.</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General Instruction B.2 of Form 8-K, the information set forth in this Current Report on Form 8-K (including Exhibit 99.1) is deemed to be “furnished” and shall not be deemed to be “filed” for purposes of Section 18 of the Securities and Exchange Act of 1934, as amended (the “Exchange Act”), or otherwise subject to the liabilities of the section, nor shall it be deemed incorporated by reference into any filing made by the Company under the Exchange Act or Securities Act of 1933, as amended, except as shall be expressly set forth by specific reference in such a filing.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Current Report on Form 8-K, including the exhibit, includes “Adjusted EBITDA,” which is a non-GAAP financial measure. The Company defines Adjusted EBITDA as net income (loss) adjusted to exclude: (i) interest expense (income), net; (ii) income tax expense (benefit); (iii) depreciation and amortization; (iv) stock-based compensation expense; and (v) unrealized (gains) losses on digital assets. Unrealized (gains) losses on digital assets represent mark-to-market, fair value adjustments related to digital assets and digital asset receivables, and do not include realized gains and losses on digital assets, including from ATH used to pay for compute the Company then sells to customers. Adjusted EBITDA is not a substitute for net income (loss) or any other measure of financial performance prepared in accordance with U.S. GAAP and may not be comparable to similarly titled measures used by other companies. Management believes Adjusted EBITDA is useful to investors because it provides a supplemental measure of the Company’s core operating performance by excluding the effects of capital structure decisions (such as interest expense), non-cash charges (such as depreciation, amortization and stock-based compensation), unrealized fair value adjustments (such as changes in volatile market price of digital asset holdings) and tax impacts that can vary significantly between periods and across companies.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Management uses Adjusted EBITDA to evaluate the Company’s performance, compare performance across periods, and assist in the allocation of resources. Investors are cautioned that Adjusted EBITDA has limitations as an analytical tool and should not be considered in isolation or as a substitute for analysis of the Company’s results as reported under U.S. GAAP. A reconciliation of Adjusted EBITDA to the most directly comparable U.S. GAAP financial measure is included in the tables accompanying the exhibit. To the extent the Company provides forward-looking Adjusted EBITDA guidance in connection with the exhibit or the related earnings call, a reconciliation of such forward-looking non-GAAP measure to the most directly comparable U.S. GAAP measure may not be available without unreasonable effort due to the inherent difficulty in forecasting and quantifying certain amounts, including but not limited to fair value adjustments on digital asset holdings, stock-based compensation expense, and other non-cash or non-recurring items, the timing and magnitude of which may be significant.</w:t>
      </w:r>
    </w:p>
    <w:p>
      <w:pPr>
        <w:pStyle w:val="TextBody"/>
        <w:bidi w:val="0"/>
        <w:spacing w:before="0" w:after="0"/>
        <w:ind w:left="0" w:right="0" w:hanging="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Exhibits</w:t>
      </w:r>
    </w:p>
    <w:p>
      <w:pPr>
        <w:pStyle w:val="TextBody"/>
        <w:bidi w:val="0"/>
        <w:spacing w:before="0" w:after="0"/>
        <w:ind w:left="0" w:right="0" w:hanging="0"/>
        <w:jc w:val="left"/>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rPr>
            </w:pPr>
            <w:r>
              <w:rPr>
                <w:b/>
                <w:sz w:val="20"/>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14,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515" w:type="dxa"/>
        <w:jc w:val="left"/>
        <w:tblInd w:w="0" w:type="dxa"/>
        <w:tblLayout w:type="fixed"/>
        <w:tblCellMar>
          <w:top w:w="0" w:type="dxa"/>
          <w:left w:w="0" w:type="dxa"/>
          <w:bottom w:w="0" w:type="dxa"/>
          <w:right w:w="0" w:type="dxa"/>
        </w:tblCellMar>
      </w:tblPr>
      <w:tblGrid>
        <w:gridCol w:w="1850"/>
        <w:gridCol w:w="365"/>
        <w:gridCol w:w="2300"/>
      </w:tblGrid>
      <w:tr>
        <w:trPr/>
        <w:tc>
          <w:tcPr>
            <w:tcW w:w="185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z w:val="20"/>
              </w:rPr>
            </w:pPr>
            <w:r>
              <w:rPr>
                <w:b/>
                <w:sz w:val="20"/>
              </w:rPr>
              <w:t>Axe Compute Inc.</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14, 2026</w:t>
            </w:r>
          </w:p>
        </w:tc>
        <w:tc>
          <w:tcPr>
            <w:tcW w:w="365" w:type="dxa"/>
            <w:tcBorders/>
            <w:vAlign w:val="center"/>
          </w:tcPr>
          <w:p>
            <w:pPr>
              <w:pStyle w:val="TableContents"/>
              <w:bidi w:val="0"/>
              <w:spacing w:before="0" w:after="283"/>
              <w:jc w:val="left"/>
              <w:rPr>
                <w:sz w:val="20"/>
              </w:rPr>
            </w:pPr>
            <w:r>
              <w:rPr>
                <w:sz w:val="20"/>
              </w:rPr>
              <w:t>By: </w:t>
            </w:r>
          </w:p>
        </w:tc>
        <w:tc>
          <w:tcPr>
            <w:tcW w:w="2300" w:type="dxa"/>
            <w:tcBorders/>
            <w:vAlign w:val="center"/>
          </w:tcPr>
          <w:p>
            <w:pPr>
              <w:pStyle w:val="TableContents"/>
              <w:bidi w:val="0"/>
              <w:spacing w:before="0" w:after="283"/>
              <w:jc w:val="left"/>
              <w:rPr>
                <w:sz w:val="20"/>
                <w:u w:val="single"/>
              </w:rPr>
            </w:pPr>
            <w:r>
              <w:rPr>
                <w:sz w:val="20"/>
                <w:u w:val="single"/>
              </w:rPr>
              <w:t>/s/ Christopher Miglino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Christopher Miglino</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Executive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Axe Compute Inc. Reports Second Quarter 2026 Financial Results and Provides Business Update</w:t>
      </w:r>
    </w:p>
    <w:p>
      <w:pPr>
        <w:pStyle w:val="TextBody"/>
        <w:numPr>
          <w:ilvl w:val="0"/>
          <w:numId w:val="2"/>
        </w:numPr>
        <w:tabs>
          <w:tab w:val="clear" w:pos="1134"/>
          <w:tab w:val="left" w:pos="709" w:leader="none"/>
        </w:tabs>
        <w:bidi w:val="0"/>
        <w:spacing w:before="0" w:after="0"/>
        <w:ind w:left="709" w:hanging="283"/>
        <w:jc w:val="left"/>
        <w:rPr/>
      </w:pPr>
      <w:r>
        <w:rPr>
          <w:rStyle w:val="StrongEmphasis"/>
        </w:rPr>
        <w:t xml:space="preserve">Revenue Grew More Than 90x Sequentially from Q1 2026 in the First Full Quarter of Compute Operations </w:t>
      </w:r>
    </w:p>
    <w:p>
      <w:pPr>
        <w:pStyle w:val="TextBody"/>
        <w:numPr>
          <w:ilvl w:val="0"/>
          <w:numId w:val="2"/>
        </w:numPr>
        <w:tabs>
          <w:tab w:val="clear" w:pos="1134"/>
          <w:tab w:val="left" w:pos="709" w:leader="none"/>
        </w:tabs>
        <w:bidi w:val="0"/>
        <w:ind w:left="709" w:hanging="283"/>
        <w:jc w:val="left"/>
        <w:rPr/>
      </w:pPr>
      <w:r>
        <w:rPr>
          <w:rStyle w:val="StrongEmphasis"/>
        </w:rPr>
        <w:t>More Than $2.8 Billion in New Contracts Signed, Bringing 2026 Signed Contracted Value to More Than $3 Billion and Expected Annualized Run Rate to More Than $696M upon Full Deployment</w:t>
      </w:r>
    </w:p>
    <w:p>
      <w:pPr>
        <w:pStyle w:val="TextBody"/>
        <w:bidi w:val="0"/>
        <w:spacing w:before="0" w:after="283"/>
        <w:jc w:val="left"/>
        <w:rPr/>
      </w:pPr>
      <w:r>
        <w:rPr/>
        <w:t>PITTSBURGH, Aug. 14, 2026 (GLOBE NEWSWIRE) -- Axe Compute Inc. (NASDAQ: AGPU), a neocloud AI infrastructure platform delivering dedicated enterprise GPU compute capacity at global scale, today reported financial results for the second quarter ended June 30, 2026.</w:t>
      </w:r>
    </w:p>
    <w:p>
      <w:pPr>
        <w:pStyle w:val="TextBody"/>
        <w:bidi w:val="0"/>
        <w:spacing w:before="0" w:after="283"/>
        <w:jc w:val="left"/>
        <w:rPr/>
      </w:pPr>
      <w:r>
        <w:rPr/>
        <w:t>"In less than eight months, we have gone from our first revenue-generating compute contract to more than $3 billion in signed contract value. We continue to be confident that we can deliver an additional $2 billion in signed contracts before the end of the year,” said Christopher Miglino, Chief Executive Officer of Axe Compute “As these contracts go live, they provide multi-year recurring revenue that strengthens our balance sheet quarter after quarter. Our focus for the second half is delivery, and winning the next contracts as we do it," added Miglino.</w:t>
      </w:r>
    </w:p>
    <w:p>
      <w:pPr>
        <w:pStyle w:val="TextBody"/>
        <w:bidi w:val="0"/>
        <w:spacing w:before="0" w:after="283"/>
        <w:jc w:val="left"/>
        <w:rPr/>
      </w:pPr>
      <w:r>
        <w:rPr>
          <w:rStyle w:val="StrongEmphasis"/>
        </w:rPr>
        <w:t>SECOND QUARTER 2026 AND RECENT DEVELOPMENTS AT A GLANCE</w:t>
      </w:r>
    </w:p>
    <w:p>
      <w:pPr>
        <w:pStyle w:val="TextBody"/>
        <w:numPr>
          <w:ilvl w:val="0"/>
          <w:numId w:val="3"/>
        </w:numPr>
        <w:tabs>
          <w:tab w:val="clear" w:pos="1134"/>
          <w:tab w:val="left" w:pos="709" w:leader="none"/>
        </w:tabs>
        <w:bidi w:val="0"/>
        <w:spacing w:before="0" w:after="0"/>
        <w:ind w:left="709" w:hanging="283"/>
        <w:jc w:val="left"/>
        <w:rPr/>
      </w:pPr>
      <w:r>
        <w:rPr>
          <w:rStyle w:val="StrongEmphasis"/>
        </w:rPr>
        <w:t>Revenue of $3.2 million</w:t>
      </w:r>
      <w:r>
        <w:rPr/>
        <w:t>, the first full quarter of revenue from compute services, entirely contributed by the Axe Compute Access service delivery model; Axe Compute Build contract revenue is not yet recognized and begins at go-live.</w:t>
      </w:r>
    </w:p>
    <w:p>
      <w:pPr>
        <w:pStyle w:val="TextBody"/>
        <w:numPr>
          <w:ilvl w:val="0"/>
          <w:numId w:val="3"/>
        </w:numPr>
        <w:tabs>
          <w:tab w:val="clear" w:pos="1134"/>
          <w:tab w:val="left" w:pos="709" w:leader="none"/>
        </w:tabs>
        <w:bidi w:val="0"/>
        <w:spacing w:before="0" w:after="0"/>
        <w:ind w:left="709" w:hanging="283"/>
        <w:jc w:val="left"/>
        <w:rPr/>
      </w:pPr>
      <w:r>
        <w:rPr>
          <w:rStyle w:val="StrongEmphasis"/>
        </w:rPr>
        <w:t>Net loss of $17.2 million</w:t>
      </w:r>
      <w:r>
        <w:rPr/>
        <w:t>, driven by a non-cash $13.1 million loss on digital assets, primarily reflecting changes in digital asset holdings and related receivables.</w:t>
      </w:r>
    </w:p>
    <w:p>
      <w:pPr>
        <w:pStyle w:val="TextBody"/>
        <w:numPr>
          <w:ilvl w:val="0"/>
          <w:numId w:val="3"/>
        </w:numPr>
        <w:tabs>
          <w:tab w:val="clear" w:pos="1134"/>
          <w:tab w:val="left" w:pos="709" w:leader="none"/>
        </w:tabs>
        <w:bidi w:val="0"/>
        <w:spacing w:before="0" w:after="0"/>
        <w:ind w:left="709" w:hanging="283"/>
        <w:jc w:val="left"/>
        <w:rPr/>
      </w:pPr>
      <w:r>
        <w:rPr>
          <w:rStyle w:val="StrongEmphasis"/>
        </w:rPr>
        <w:t>Adjusted EBITDA</w:t>
      </w:r>
      <w:r>
        <w:rPr>
          <w:rStyle w:val="StrongEmphasis"/>
          <w:position w:val="8"/>
          <w:sz w:val="19"/>
        </w:rPr>
        <w:t>1</w:t>
      </w:r>
      <w:r>
        <w:rPr/>
        <w:t xml:space="preserve"> </w:t>
      </w:r>
      <w:r>
        <w:rPr>
          <w:rStyle w:val="StrongEmphasis"/>
        </w:rPr>
        <w:t>of approximately ($4.9 million)</w:t>
      </w:r>
      <w:r>
        <w:rPr/>
        <w:t>, with approximately ($0.9 million) attributable to the legacy Drug Discovery Services (Helomics) segment.</w:t>
      </w:r>
    </w:p>
    <w:p>
      <w:pPr>
        <w:pStyle w:val="TextBody"/>
        <w:numPr>
          <w:ilvl w:val="0"/>
          <w:numId w:val="3"/>
        </w:numPr>
        <w:tabs>
          <w:tab w:val="clear" w:pos="1134"/>
          <w:tab w:val="left" w:pos="709" w:leader="none"/>
        </w:tabs>
        <w:bidi w:val="0"/>
        <w:spacing w:before="0" w:after="0"/>
        <w:ind w:left="709" w:hanging="283"/>
        <w:jc w:val="left"/>
        <w:rPr/>
      </w:pPr>
      <w:r>
        <w:rPr>
          <w:rStyle w:val="StrongEmphasis"/>
        </w:rPr>
        <w:t>Cash of $21.9 million</w:t>
      </w:r>
      <w:r>
        <w:rPr/>
        <w:t xml:space="preserve"> at quarter-end, up from $6.9 million at March 31, 2026.</w:t>
      </w:r>
    </w:p>
    <w:p>
      <w:pPr>
        <w:pStyle w:val="TextBody"/>
        <w:numPr>
          <w:ilvl w:val="0"/>
          <w:numId w:val="3"/>
        </w:numPr>
        <w:tabs>
          <w:tab w:val="clear" w:pos="1134"/>
          <w:tab w:val="left" w:pos="709" w:leader="none"/>
        </w:tabs>
        <w:bidi w:val="0"/>
        <w:spacing w:before="0" w:after="0"/>
        <w:ind w:left="709" w:hanging="283"/>
        <w:jc w:val="left"/>
        <w:rPr/>
      </w:pPr>
      <w:r>
        <w:rPr>
          <w:rStyle w:val="StrongEmphasis"/>
        </w:rPr>
        <w:t>Customer prepayments of $60.8 million</w:t>
      </w:r>
      <w:r>
        <w:rPr/>
        <w:t xml:space="preserve"> and net cash provided by operating activities of $17.4 million for the first half of 2026.</w:t>
      </w:r>
    </w:p>
    <w:p>
      <w:pPr>
        <w:pStyle w:val="TextBody"/>
        <w:numPr>
          <w:ilvl w:val="0"/>
          <w:numId w:val="3"/>
        </w:numPr>
        <w:tabs>
          <w:tab w:val="clear" w:pos="1134"/>
          <w:tab w:val="left" w:pos="709" w:leader="none"/>
        </w:tabs>
        <w:bidi w:val="0"/>
        <w:ind w:left="709" w:hanging="283"/>
        <w:jc w:val="left"/>
        <w:rPr/>
      </w:pPr>
      <w:r>
        <w:rPr>
          <w:rStyle w:val="StrongEmphasis"/>
        </w:rPr>
        <w:t>More than $3 billion in 2026 total contract</w:t>
      </w:r>
      <w:r>
        <w:rPr/>
        <w:t xml:space="preserve"> </w:t>
      </w:r>
      <w:r>
        <w:rPr>
          <w:rStyle w:val="StrongEmphasis"/>
        </w:rPr>
        <w:t>value (“TCV”)</w:t>
      </w:r>
      <w:r>
        <w:rPr>
          <w:rStyle w:val="StrongEmphasis"/>
          <w:position w:val="8"/>
          <w:sz w:val="19"/>
        </w:rPr>
        <w:t>2</w:t>
      </w:r>
      <w:r>
        <w:rPr/>
        <w:t>, including more than $2.8 billion in contracts signed in July under the Axe Compute Build model that were converted from the second quarter pipeline.</w:t>
      </w:r>
    </w:p>
    <w:p>
      <w:pPr>
        <w:pStyle w:val="TextBody"/>
        <w:bidi w:val="0"/>
        <w:spacing w:before="0" w:after="283"/>
        <w:jc w:val="left"/>
        <w:rPr/>
      </w:pPr>
      <w:r>
        <w:rPr>
          <w:rStyle w:val="StrongEmphasis"/>
        </w:rPr>
        <w:t>Q2 2026 AND RECENT BUSINESS HIGHLIGHTS</w:t>
      </w:r>
    </w:p>
    <w:p>
      <w:pPr>
        <w:pStyle w:val="TextBody"/>
        <w:bidi w:val="0"/>
        <w:spacing w:before="0" w:after="283"/>
        <w:jc w:val="left"/>
        <w:rPr/>
      </w:pPr>
      <w:r>
        <w:rPr>
          <w:rStyle w:val="StrongEmphasis"/>
        </w:rPr>
        <w:t>More Than $2.8 Billion in New Contracts Signed (July 2026):</w:t>
      </w:r>
      <w:r>
        <w:rPr/>
        <w:t xml:space="preserve"> Subsequent to quarter-end, the Company secured three new customer contracts across the United States and Europe with a TCV of more than $2.8 billion, all under the Axe Compute Build model. Together with the $260 million contract signed in April, the Company's 2026 TCV now exceeds $3 billion, surpassing the $1 billion goal for new customer agreements announced in May 2026. The Company’s annualized run rate (“ARR”)</w:t>
      </w:r>
      <w:r>
        <w:rPr>
          <w:position w:val="8"/>
          <w:sz w:val="19"/>
        </w:rPr>
        <w:t>3</w:t>
      </w:r>
      <w:r>
        <w:rPr/>
        <w:t xml:space="preserve"> is expected to reach more than $696M upon full deployment.</w:t>
      </w:r>
    </w:p>
    <w:p>
      <w:pPr>
        <w:pStyle w:val="TextBody"/>
        <w:bidi w:val="0"/>
        <w:spacing w:before="0" w:after="283"/>
        <w:jc w:val="left"/>
        <w:rPr/>
      </w:pPr>
      <w:r>
        <w:rPr>
          <w:rStyle w:val="StrongEmphasis"/>
        </w:rPr>
        <w:t>$260 Million Cluster In Build, Targeted for Q3 2026 Go-Live:</w:t>
      </w:r>
      <w:r>
        <w:rPr/>
        <w:t xml:space="preserve"> The dedicated cluster of 2,304 NVIDIA B300 GPUs under the Company's 36-month take-or-pay contract announced in April progressed through build during the quarter. Deployment remains targeted for Q3 2026. Once live, the contract represents approximately $21 million per quarter in recognizable revenue over the 36-month service term.</w:t>
      </w:r>
    </w:p>
    <w:p>
      <w:pPr>
        <w:pStyle w:val="TextBody"/>
        <w:bidi w:val="0"/>
        <w:spacing w:before="0" w:after="283"/>
        <w:jc w:val="left"/>
        <w:rPr/>
      </w:pPr>
      <w:r>
        <w:rPr>
          <w:rStyle w:val="StrongEmphasis"/>
        </w:rPr>
        <w:t>Contract Liabilities Grew to $60.8 Million:</w:t>
      </w:r>
      <w:r>
        <w:rPr/>
        <w:t xml:space="preserve"> Contract liabilities, representing customer prepayments that are generally non-cancellable and non-refundable and are received ahead of revenue recognition, grew from $0.8 million at March 31, 2026 to $60.8 million at June 30, 2026. Customer prepayments fund infrastructure ahead of deployment, a central feature of the Company's capital-efficient operating model.</w:t>
      </w:r>
    </w:p>
    <w:p>
      <w:pPr>
        <w:pStyle w:val="TextBody"/>
        <w:bidi w:val="0"/>
        <w:spacing w:before="0" w:after="283"/>
        <w:jc w:val="left"/>
        <w:rPr/>
      </w:pPr>
      <w:r>
        <w:rPr>
          <w:rStyle w:val="StrongEmphasis"/>
        </w:rPr>
        <w:t>SECOND QUARTER 2026 FINANCIAL HIGHLIGHTS</w:t>
      </w:r>
    </w:p>
    <w:p>
      <w:pPr>
        <w:pStyle w:val="TextBody"/>
        <w:bidi w:val="0"/>
        <w:spacing w:before="0" w:after="283"/>
        <w:jc w:val="left"/>
        <w:rPr/>
      </w:pPr>
      <w:r>
        <w:rPr>
          <w:rStyle w:val="StrongEmphasis"/>
        </w:rPr>
        <w:t>Revenue:</w:t>
      </w:r>
      <w:r>
        <w:rPr/>
        <w:t xml:space="preserve"> $3.2 million in Q2 2026, up from $35 thousand in Q1 2026 and compared to $3 thousand in Q2 2025, before the Company began providing compute services. Compute Services contributed $3.2 million, the segment's first full quarter of recognized revenue, reflecting contracts delivered through the Axe Compute Access model. Revenue from the Company's Build contracts is not yet reflected in reported results; recognition begins at go-live of the contracted clusters. The current period's margin profile reflects the Access model only and does not reflect the economics of the Build business, and the revenue mix and economics of the Company are expected to change materially as Build deployments come online.</w:t>
      </w:r>
    </w:p>
    <w:p>
      <w:pPr>
        <w:pStyle w:val="TextBody"/>
        <w:bidi w:val="0"/>
        <w:spacing w:before="0" w:after="283"/>
        <w:jc w:val="left"/>
        <w:rPr/>
      </w:pPr>
      <w:r>
        <w:rPr>
          <w:rStyle w:val="StrongEmphasis"/>
        </w:rPr>
        <w:t>Net Loss:</w:t>
      </w:r>
      <w:r>
        <w:rPr/>
        <w:t xml:space="preserve"> $17.2 million for Q2 2026, or $0.87 per share. The reported net loss was driven primarily by $13.1 million in losses on digital assets in the quarter ($17.4 million year to date). These represent primarily non-cash fair-value changes on the Company's ATH digital asset holdings and related receivable and derivative positions, which under US GAAP are measured at each reporting date. Management believes the reported net loss does not reflect the operating performance or cash usage of the business.</w:t>
      </w:r>
    </w:p>
    <w:p>
      <w:pPr>
        <w:pStyle w:val="TextBody"/>
        <w:bidi w:val="0"/>
        <w:spacing w:before="0" w:after="283"/>
        <w:jc w:val="left"/>
        <w:rPr/>
      </w:pPr>
      <w:r>
        <w:rPr>
          <w:rStyle w:val="StrongEmphasis"/>
        </w:rPr>
        <w:t>Adjusted EBITDA:</w:t>
      </w:r>
      <w:r>
        <w:rPr/>
        <w:t xml:space="preserve"> ($4.9 million), excluding $11.8 million of unrealized losses on digital assets, $0.6 million of stock-based compensation, and less than $0.1 million of combined depreciation, amortization, and net interest income; approximately ($0.9 million) was attributable to the legacy Drug Discovery Services segment.</w:t>
      </w:r>
    </w:p>
    <w:p>
      <w:pPr>
        <w:pStyle w:val="TextBody"/>
        <w:bidi w:val="0"/>
        <w:spacing w:before="0" w:after="283"/>
        <w:jc w:val="left"/>
        <w:rPr/>
      </w:pPr>
      <w:r>
        <w:rPr>
          <w:rStyle w:val="StrongEmphasis"/>
        </w:rPr>
        <w:t>Cash and Digital Assets:</w:t>
      </w:r>
      <w:r>
        <w:rPr/>
        <w:t xml:space="preserve"> Cash and cash equivalents grew to $21.9 million at June 30, 2026, up from $10.8 million at December 31, 2025 and $6.9 million at March 31, 2026. The Company also held $11.3 million in digital assets, primarily Aethir (“ATH”), and $10.3 million in digital asset receivables at June 30, 2026 for a total of $21.6 in digital assets.</w:t>
      </w:r>
    </w:p>
    <w:p>
      <w:pPr>
        <w:pStyle w:val="TextBody"/>
        <w:bidi w:val="0"/>
        <w:spacing w:before="0" w:after="283"/>
        <w:jc w:val="left"/>
        <w:rPr/>
      </w:pPr>
      <w:r>
        <w:rPr>
          <w:rStyle w:val="StrongEmphasis"/>
        </w:rPr>
        <w:t>Positive Operating Cash Flow:</w:t>
      </w:r>
      <w:r>
        <w:rPr/>
        <w:t xml:space="preserve"> Net cash provided by operating activities of continuing operations was $17.4 million for the six months ended June 30, 2026, compared to net cash used of $4.3 million in the prior-year period, driven primarily by customer prepayments under Compute Services contracts.</w:t>
      </w:r>
    </w:p>
    <w:p>
      <w:pPr>
        <w:pStyle w:val="TextBody"/>
        <w:bidi w:val="0"/>
        <w:spacing w:before="0" w:after="283"/>
        <w:jc w:val="left"/>
        <w:rPr/>
      </w:pPr>
      <w:r>
        <w:rPr>
          <w:rStyle w:val="StrongEmphasis"/>
        </w:rPr>
        <w:t>OUTLOOK</w:t>
      </w:r>
    </w:p>
    <w:p>
      <w:pPr>
        <w:pStyle w:val="TextBody"/>
        <w:bidi w:val="0"/>
        <w:spacing w:before="0" w:after="283"/>
        <w:jc w:val="left"/>
        <w:rPr/>
      </w:pPr>
      <w:r>
        <w:rPr/>
        <w:t>The Company does not provide formal financial guidance. The following forward-looking context is provided to assist investors in understanding management's operational priorities, and is subject to the risks and uncertainties described under "Cautionary Statement Regarding Forward-Looking Statements" below.</w:t>
      </w:r>
    </w:p>
    <w:p>
      <w:pPr>
        <w:pStyle w:val="TextBody"/>
        <w:bidi w:val="0"/>
        <w:spacing w:before="0" w:after="283"/>
        <w:jc w:val="left"/>
        <w:rPr/>
      </w:pPr>
      <w:r>
        <w:rPr/>
        <w:t>Management's operational priorities for the balance of 2026 include: (i) completing the build and achieving go-live of the $260 million dedicated GPU cluster, targeted for Q3 2026, and commencing recognition of approximately $21 million per quarter in revenue under that contract upon deployment; (ii) executing against the more than $2.8 billion in contracts signed in July 2026, including facility readiness, equipment procurement, and deployment planning across the United States and Europe; (iii) continuing to expand the enterprise sales team and convert the Company's pipeline; and (iv) completing the strategic alternatives process for the legacy Drug Discovery Services business.</w:t>
      </w:r>
    </w:p>
    <w:p>
      <w:pPr>
        <w:pStyle w:val="TextBody"/>
        <w:bidi w:val="0"/>
        <w:spacing w:before="0" w:after="283"/>
        <w:jc w:val="left"/>
        <w:rPr/>
      </w:pPr>
      <w:r>
        <w:rPr>
          <w:rStyle w:val="StrongEmphasis"/>
        </w:rPr>
        <w:t>CONFERENCE CALL AND WEBCAST</w:t>
      </w:r>
    </w:p>
    <w:p>
      <w:pPr>
        <w:pStyle w:val="TextBody"/>
        <w:bidi w:val="0"/>
        <w:spacing w:before="0" w:after="283"/>
        <w:jc w:val="left"/>
        <w:rPr/>
      </w:pPr>
      <w:r>
        <w:rPr/>
        <w:t>Management will host a conference call and webcast to discuss the Company's second quarter 2026 results on Monday, August 17, 2026 at 8:30 a.m. Eastern Time. Participants may join by dialing +1 720 707 2699 (Meeting ID: 867 5256 5005, Passcode: 279379) or via live webcast at https://bit.ly/AxeComputeQ22026. A replay of the webcast will be available on the Company's investor relations website at investors.axecompute.com following the call.</w:t>
      </w:r>
    </w:p>
    <w:p>
      <w:pPr>
        <w:pStyle w:val="TextBody"/>
        <w:bidi w:val="0"/>
        <w:spacing w:before="0" w:after="283"/>
        <w:jc w:val="left"/>
        <w:rPr/>
      </w:pPr>
      <w:r>
        <w:rPr>
          <w:rStyle w:val="StrongEmphasis"/>
        </w:rPr>
        <w:t>ABOUT AXE COMPUTE</w:t>
      </w:r>
    </w:p>
    <w:p>
      <w:pPr>
        <w:pStyle w:val="TextBody"/>
        <w:bidi w:val="0"/>
        <w:spacing w:before="0" w:after="283"/>
        <w:jc w:val="left"/>
        <w:rPr/>
      </w:pPr>
      <w:r>
        <w:rPr/>
        <w:t>Axe Compute Inc. (NASDAQ: AGPU) is a neocloud AI infrastructure platform built on a fundamental premise: AI innovation should not be constrained by hardware choice or availability. The company provides enterprises and AI innovators with flexibility across hardware, geography, and deployment models through two core offerings: Axe Compute Access, delivering a wide range of the latest high-performance GPU infrastructure across global locations, and Axe Compute Build, enabling the design, deployment, ownership, and operation of large-scale, dedicated AI infrastructure worldwide. All solutions are supported by enterprise-grade SLAs and operational expertise. Axe Compute is headquartered in Pittsburgh, Pennsylvania. For more information, visit axecompute.com.</w:t>
      </w:r>
    </w:p>
    <w:p>
      <w:pPr>
        <w:pStyle w:val="TextBody"/>
        <w:bidi w:val="0"/>
        <w:spacing w:before="0" w:after="283"/>
        <w:jc w:val="left"/>
        <w:rPr/>
      </w:pPr>
      <w:r>
        <w:rPr>
          <w:rStyle w:val="StrongEmphasis"/>
        </w:rPr>
        <w:t>INVESTOR CONTACT</w:t>
      </w:r>
    </w:p>
    <w:p>
      <w:pPr>
        <w:pStyle w:val="TextBody"/>
        <w:bidi w:val="0"/>
        <w:spacing w:before="0" w:after="283"/>
        <w:jc w:val="left"/>
        <w:rPr/>
      </w:pPr>
      <w:r>
        <w:rPr/>
        <w:t>Erin McMahon, CMO and Head of Investor Relations</w:t>
      </w:r>
    </w:p>
    <w:p>
      <w:pPr>
        <w:pStyle w:val="TextBody"/>
        <w:bidi w:val="0"/>
        <w:spacing w:before="0" w:after="283"/>
        <w:jc w:val="left"/>
        <w:rPr/>
      </w:pPr>
      <w:r>
        <w:rPr/>
        <w:t>ir@axecompute.com | investors.axecompute.com</w:t>
      </w:r>
    </w:p>
    <w:p>
      <w:pPr>
        <w:pStyle w:val="TextBody"/>
        <w:bidi w:val="0"/>
        <w:spacing w:before="0" w:after="283"/>
        <w:jc w:val="left"/>
        <w:rPr/>
      </w:pPr>
      <w:r>
        <w:rPr>
          <w:rStyle w:val="StrongEmphasis"/>
        </w:rPr>
        <w:t>MEDIA CONTACT</w:t>
      </w:r>
    </w:p>
    <w:p>
      <w:pPr>
        <w:pStyle w:val="TextBody"/>
        <w:bidi w:val="0"/>
        <w:spacing w:before="0" w:after="283"/>
        <w:jc w:val="left"/>
        <w:rPr/>
      </w:pPr>
      <w:r>
        <w:rPr/>
        <w:t>Erin McMahon, CMO and Head of Investor Relations</w:t>
      </w:r>
    </w:p>
    <w:p>
      <w:pPr>
        <w:pStyle w:val="TextBody"/>
        <w:bidi w:val="0"/>
        <w:spacing w:before="0" w:after="283"/>
        <w:jc w:val="left"/>
        <w:rPr/>
      </w:pPr>
      <w:r>
        <w:rPr/>
        <w:t>erin@axecompute.com</w:t>
      </w:r>
    </w:p>
    <w:p>
      <w:pPr>
        <w:pStyle w:val="TextBody"/>
        <w:bidi w:val="0"/>
        <w:spacing w:before="0" w:after="283"/>
        <w:jc w:val="left"/>
        <w:rPr/>
      </w:pPr>
      <w:r>
        <w:rPr>
          <w:rStyle w:val="StrongEmphasis"/>
        </w:rPr>
        <w:t>CAUTIONARY STATEMENT REGARDING FORWARD-LOOKING STATEMENTS</w:t>
      </w:r>
    </w:p>
    <w:p>
      <w:pPr>
        <w:pStyle w:val="TextBody"/>
        <w:bidi w:val="0"/>
        <w:spacing w:before="0" w:after="283"/>
        <w:jc w:val="left"/>
        <w:rPr/>
      </w:pPr>
      <w:r>
        <w:rPr/>
        <w:t>This press release contains "forward-looking statements" within the meaning of the Private Securities Litigation Reform Act of 1995, as well as Section 27A of the Securities Act of 1933, as amended, and Section 21E of the Securities Exchange Act of 1934, as amended. Forward-looking statements include, but are not limited to, statements regarding the deployment timeline and revenue expectations for the $260 million enterprise contract, the execution and deployment of the contracts signed in July 2026, the Company's commercial strategy and pipeline, the expected evolution of the Company's revenue mix and economics as Build contracts come online, the expected annualized run rate in future periods, the strategic alternatives process for the Drug Discovery Services segment, the Company's liquidity and capital resources, and the market opportunity for GPU compute infrastructure. These statements are based on management's current expectations and beliefs as of the date of this release and are subject to significant risks and uncertainties that could cause actual results to differ materially, including but not limited to: risks related to the execution, enforceability, and customer performance under the Company's contracts, including the $260 million contract and the contracts signed in July 2026; hardware supply chain constraints and facility readiness; the highly volatile and unpredictable price of ATH and digital assets generally; the Company's ability to generate and grow Compute Services revenue; risks associated with the Aethir network and decentralized physical infrastructure; the Company's ability to maintain Nasdaq listing compliance; risks related to the strategic alternatives process for the Drug Discovery Services business; and those risks and uncertainties described in the Company's Annual Report on Form 10-K for the fiscal year ended December 31, 2025, filed with the SEC on March 31, 2026, and in the Company's Quarterly Report on Form 10-Q for the quarter ended June 30, 2026. The Company undertakes no obligation to update or revise any forward-looking statements, except as required by applicable law.</w:t>
      </w:r>
    </w:p>
    <w:p>
      <w:pPr>
        <w:pStyle w:val="TextBody"/>
        <w:bidi w:val="0"/>
        <w:spacing w:before="0" w:after="283"/>
        <w:jc w:val="left"/>
        <w:rPr/>
      </w:pPr>
      <w:r>
        <w:rPr>
          <w:rStyle w:val="StrongEmphasis"/>
        </w:rPr>
        <w:t>NON-GAAP FINANCIAL MEASURES</w:t>
      </w:r>
    </w:p>
    <w:p>
      <w:pPr>
        <w:pStyle w:val="TextBody"/>
        <w:bidi w:val="0"/>
        <w:spacing w:before="0" w:after="283"/>
        <w:jc w:val="left"/>
        <w:rPr/>
      </w:pPr>
      <w:r>
        <w:rPr/>
        <w:t>This press release includes “Adjusted EBITDA,” which is a non-GAAP financial measure. The Company defines Adjusted EBITDA as net income (loss) adjusted to exclude: (i) interest expense (income), net; (ii) income tax expense (benefit); (iii) depreciation and amortization; (iv) stock-based compensation expense; and (v) unrealized (gains) losses on digital assets. Unrealized (gains) losses on digital assets represent mark-to-market, fair value adjustments related to digital assets and digital asset receivables, and do not include realized gains and losses on digital assets, including from ATH used to pay for compute the Company then sells to customers. Adjusted EBITDA is not a substitute for net income (loss) or any other measure of financial performance prepared in accordance with U.S. GAAP and may not be comparable to similarly titled measures used by other companies. Management believes Adjusted EBITDA is useful to investors because it provides a supplemental measure of the Company’s core operating performance by excluding the effects of capital structure decisions (such as interest expense), non-cash charges (such as depreciation, amortization and stock-based compensation), unrealized fair value adjustments (such as changes in volatile market price of digital asset holdings) and tax impacts that can vary significantly between periods and across companies. Management uses Adjusted EBITDA to evaluate the Company’s performance, compare performance across periods, and assist in the allocation of resources. Investors are cautioned that Adjusted EBITDA has limitations as an analytical tool and should not be considered in isolation or as a substitute for analysis of the Company’s results as reported under U.S. GAAP.</w:t>
      </w:r>
    </w:p>
    <w:p>
      <w:pPr>
        <w:pStyle w:val="TextBody"/>
        <w:bidi w:val="0"/>
        <w:spacing w:before="0" w:after="283"/>
        <w:jc w:val="left"/>
        <w:rPr/>
      </w:pPr>
      <w:r>
        <w:rPr/>
        <w:t>A reconciliation of Adjusted EBITDA to the most directly comparable U.S. GAAP financial measure is included in the tables accompanying this press release. To the extent the Company provides forward-looking Adjusted EBITDA guidance in connection with this release or the related earnings call, a reconciliation of such forward-looking non-GAAP measure to the most directly comparable U.S. GAAP measure may not be available without unreasonable effort due to the inherent difficulty in forecasting and quantifying certain amounts, including but not limited to fair value adjustments on digital asset holdings, stock-based compensation expense, and other non-cash or non-recurring items, the timing and magnitude of which may be significant.</w:t>
      </w:r>
    </w:p>
    <w:p>
      <w:pPr>
        <w:pStyle w:val="TextBody"/>
        <w:bidi w:val="0"/>
        <w:spacing w:before="0" w:after="283"/>
        <w:jc w:val="left"/>
        <w:rPr/>
      </w:pPr>
      <w:r>
        <w:rPr>
          <w:rStyle w:val="StrongEmphasis"/>
        </w:rPr>
        <w:br/>
        <w:t>FINANCIAL STATEMENTS</w:t>
        <w:br/>
        <w:t>SUMMARY CONDENSED CONSOLIDATED BALANCE SHEETS</w:t>
        <w:br/>
        <w:t>(Unaudited)</w:t>
      </w:r>
    </w:p>
    <w:tbl>
      <w:tblPr>
        <w:tblW w:w="8628" w:type="dxa"/>
        <w:jc w:val="left"/>
        <w:tblInd w:w="-10" w:type="dxa"/>
        <w:tblLayout w:type="fixed"/>
        <w:tblCellMar>
          <w:top w:w="28" w:type="dxa"/>
          <w:left w:w="28" w:type="dxa"/>
          <w:bottom w:w="28" w:type="dxa"/>
          <w:right w:w="28" w:type="dxa"/>
        </w:tblCellMar>
      </w:tblPr>
      <w:tblGrid>
        <w:gridCol w:w="5041"/>
        <w:gridCol w:w="1501"/>
        <w:gridCol w:w="2086"/>
      </w:tblGrid>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2026</w:t>
            </w:r>
          </w:p>
        </w:tc>
        <w:tc>
          <w:tcPr>
            <w:tcW w:w="2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December 31, 2025</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ASSETS</w:t>
            </w:r>
          </w:p>
        </w:tc>
        <w:tc>
          <w:tcPr>
            <w:tcW w:w="15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2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Cash and cash equivalents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$21,905,767</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$10,790,850</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Accounts receivable</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3,321,426</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32,120</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Compute prepayments (current)</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11,148,981</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Digital assets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11,268,342</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24,439,598</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Digital asset receivable (current)</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7,547,221</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7,226,475</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Other current assets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873,423</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280,904</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current assets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56,065,160</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42,769,947</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Compute prepayments, net of current portion</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22,946,761</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Digital asset receivable, net of current portion</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2,745,004</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8,258,681</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Property and equipment, net</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17,291,873</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223,128</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Other non-current assets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1,327,158</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1,636,590</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assets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$100,375,956</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$52,888,346</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LIABILITIES &amp; STOCKHOLDERS' EQUITY</w:t>
            </w:r>
          </w:p>
        </w:tc>
        <w:tc>
          <w:tcPr>
            <w:tcW w:w="15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2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Accounts payable</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$2,494,038</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$1,840,608</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Contract liabilities (current)</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33,645,987</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144,076</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Other current liabilities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2,546,883</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2,282,212</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current liabilities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38,686,908</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4,266,896</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Contract liabilities, net of current portion</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27,108,685</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Other long-term liabilities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535,168</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904,495</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liabilities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66,330,761</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5,171,391</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stockholders' equity</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34,045,195</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47,716,955</w:t>
            </w:r>
          </w:p>
        </w:tc>
      </w:tr>
      <w:tr>
        <w:trPr/>
        <w:tc>
          <w:tcPr>
            <w:tcW w:w="5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liabilities and stockholders' equity</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$100,375,956</w:t>
            </w:r>
          </w:p>
        </w:tc>
        <w:tc>
          <w:tcPr>
            <w:tcW w:w="2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$52,888,346</w:t>
            </w:r>
          </w:p>
        </w:tc>
      </w:tr>
    </w:tbl>
    <w:p>
      <w:pPr>
        <w:pStyle w:val="TextBody"/>
        <w:bidi w:val="0"/>
        <w:spacing w:before="0" w:after="283"/>
        <w:jc w:val="left"/>
        <w:rPr/>
      </w:pPr>
      <w:r>
        <w:rPr>
          <w:rStyle w:val="StrongEmphasis"/>
        </w:rPr>
        <w:br/>
        <w:t>SUMMARY STATEMENTS OF NET LOSS</w:t>
        <w:br/>
        <w:t>(Unaudited)</w:t>
      </w:r>
    </w:p>
    <w:tbl>
      <w:tblPr>
        <w:tblW w:w="9664" w:type="dxa"/>
        <w:jc w:val="left"/>
        <w:tblInd w:w="-10" w:type="dxa"/>
        <w:tblLayout w:type="fixed"/>
        <w:tblCellMar>
          <w:top w:w="28" w:type="dxa"/>
          <w:left w:w="28" w:type="dxa"/>
          <w:bottom w:w="28" w:type="dxa"/>
          <w:right w:w="28" w:type="dxa"/>
        </w:tblCellMar>
      </w:tblPr>
      <w:tblGrid>
        <w:gridCol w:w="3511"/>
        <w:gridCol w:w="1553"/>
        <w:gridCol w:w="1553"/>
        <w:gridCol w:w="1501"/>
        <w:gridCol w:w="1546"/>
      </w:tblGrid>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310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For the Three Months Ended</w:t>
            </w:r>
          </w:p>
        </w:tc>
        <w:tc>
          <w:tcPr>
            <w:tcW w:w="3047"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For the Six Months Ended</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5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2026</w:t>
            </w:r>
          </w:p>
        </w:tc>
        <w:tc>
          <w:tcPr>
            <w:tcW w:w="155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2025</w:t>
            </w:r>
          </w:p>
        </w:tc>
        <w:tc>
          <w:tcPr>
            <w:tcW w:w="15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2026</w:t>
            </w:r>
          </w:p>
        </w:tc>
        <w:tc>
          <w:tcPr>
            <w:tcW w:w="15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2025</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Revenue</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$3,214,992</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$2,682</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$3,250,303</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$112,992</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Gains (losses) on digital assets</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$(13,125,352)</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$(17,421,620)</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operating costs and expenses</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$(7,417,650)</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$(2,662,550)</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$(10,885,374)</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$(5,059,907)</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operating loss</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$(17,328,010)</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$(2,659,868)</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$(25,056,691)</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$(4,946,915)</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Other income, net</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$122,128</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$680,973</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$141,866</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$682,604</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Net loss</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$(17,205,882)</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$(2,070,462)</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$(24,914,825)</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$(4,513,335)</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Net loss per share, basic and diluted</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$(0.87)</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$(0.23)</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$(1.45)</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$(0.55)</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Weighted avg. shares outstanding</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19,685,811</w:t>
            </w:r>
          </w:p>
        </w:tc>
        <w:tc>
          <w:tcPr>
            <w:tcW w:w="15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9,108,984</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17,167,696</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8,136,008</w:t>
            </w:r>
          </w:p>
        </w:tc>
      </w:tr>
    </w:tbl>
    <w:p>
      <w:pPr>
        <w:pStyle w:val="TextBody"/>
        <w:bidi w:val="0"/>
        <w:spacing w:before="0" w:after="283"/>
        <w:jc w:val="left"/>
        <w:rPr/>
      </w:pPr>
      <w:r>
        <w:rPr>
          <w:rStyle w:val="StrongEmphasis"/>
        </w:rPr>
        <w:br/>
        <w:t>RECONCILIATION OF NET LOSS TO ADJUSTED EBITDA</w:t>
        <w:br/>
        <w:t>(Unaudited)</w:t>
      </w:r>
    </w:p>
    <w:tbl>
      <w:tblPr>
        <w:tblW w:w="7171" w:type="dxa"/>
        <w:jc w:val="left"/>
        <w:tblInd w:w="-10" w:type="dxa"/>
        <w:tblLayout w:type="fixed"/>
        <w:tblCellMar>
          <w:top w:w="28" w:type="dxa"/>
          <w:left w:w="28" w:type="dxa"/>
          <w:bottom w:w="28" w:type="dxa"/>
          <w:right w:w="28" w:type="dxa"/>
        </w:tblCellMar>
      </w:tblPr>
      <w:tblGrid>
        <w:gridCol w:w="4021"/>
        <w:gridCol w:w="1552"/>
        <w:gridCol w:w="1598"/>
      </w:tblGrid>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315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For the Three Months Ended</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5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2026</w:t>
            </w:r>
          </w:p>
        </w:tc>
        <w:tc>
          <w:tcPr>
            <w:tcW w:w="159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2025</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Net loss from continuing operations</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$(17,205,882)</w:t>
            </w:r>
          </w:p>
        </w:tc>
        <w:tc>
          <w:tcPr>
            <w:tcW w:w="15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$(1,978,896)</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Net interest (income) expense</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(74,928)</w:t>
            </w:r>
          </w:p>
        </w:tc>
        <w:tc>
          <w:tcPr>
            <w:tcW w:w="15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789</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Income tax (benefit) expense</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w:t>
            </w:r>
          </w:p>
        </w:tc>
        <w:tc>
          <w:tcPr>
            <w:tcW w:w="15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Depreciation and amortization</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26,234</w:t>
            </w:r>
          </w:p>
        </w:tc>
        <w:tc>
          <w:tcPr>
            <w:tcW w:w="15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32,611</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Stock-based compensation expense</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571,584</w:t>
            </w:r>
          </w:p>
        </w:tc>
        <w:tc>
          <w:tcPr>
            <w:tcW w:w="15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Unrealized (gains) losses on digital assets</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11,798,221</w:t>
            </w:r>
          </w:p>
        </w:tc>
        <w:tc>
          <w:tcPr>
            <w:tcW w:w="15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r>
      <w:tr>
        <w:trPr/>
        <w:tc>
          <w:tcPr>
            <w:tcW w:w="4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EBITDA</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rStyle w:val="StrongEmphasis"/>
              </w:rPr>
              <w:t>$(4,884,771)</w:t>
            </w:r>
          </w:p>
        </w:tc>
        <w:tc>
          <w:tcPr>
            <w:tcW w:w="15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$(1,945,496)</w:t>
            </w:r>
          </w:p>
        </w:tc>
      </w:tr>
    </w:tbl>
    <w:p>
      <w:pPr>
        <w:pStyle w:val="TextBody"/>
        <w:bidi w:val="0"/>
        <w:spacing w:before="0" w:after="283"/>
        <w:jc w:val="left"/>
        <w:rPr/>
      </w:pPr>
      <w:r>
        <w:rPr>
          <w:rStyle w:val="StrongEmphasis"/>
        </w:rPr>
        <w:br/>
        <w:t>SUMMARY STATEMENTS OF CASH FLOWS</w:t>
        <w:br/>
        <w:t>(Unaudited)</w:t>
      </w:r>
    </w:p>
    <w:tbl>
      <w:tblPr>
        <w:tblW w:w="8973" w:type="dxa"/>
        <w:jc w:val="left"/>
        <w:tblInd w:w="-10" w:type="dxa"/>
        <w:tblLayout w:type="fixed"/>
        <w:tblCellMar>
          <w:top w:w="28" w:type="dxa"/>
          <w:left w:w="28" w:type="dxa"/>
          <w:bottom w:w="28" w:type="dxa"/>
          <w:right w:w="28" w:type="dxa"/>
        </w:tblCellMar>
      </w:tblPr>
      <w:tblGrid>
        <w:gridCol w:w="5926"/>
        <w:gridCol w:w="1501"/>
        <w:gridCol w:w="1546"/>
      </w:tblGrid>
      <w:tr>
        <w:trPr/>
        <w:tc>
          <w:tcPr>
            <w:tcW w:w="5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3047"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For the Six Months Ended</w:t>
            </w:r>
          </w:p>
        </w:tc>
      </w:tr>
      <w:tr>
        <w:trPr/>
        <w:tc>
          <w:tcPr>
            <w:tcW w:w="5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2026</w:t>
            </w:r>
          </w:p>
        </w:tc>
        <w:tc>
          <w:tcPr>
            <w:tcW w:w="15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June 30, 2025</w:t>
            </w:r>
          </w:p>
        </w:tc>
      </w:tr>
      <w:tr>
        <w:trPr/>
        <w:tc>
          <w:tcPr>
            <w:tcW w:w="5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Net cash provided by (used in) continuing operating activities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$17,370,239</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$(4,280,632)</w:t>
            </w:r>
          </w:p>
        </w:tc>
      </w:tr>
      <w:tr>
        <w:trPr/>
        <w:tc>
          <w:tcPr>
            <w:tcW w:w="5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Net cash (used in) continuing investing activities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(17,121,106)</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r>
      <w:tr>
        <w:trPr/>
        <w:tc>
          <w:tcPr>
            <w:tcW w:w="5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Net cash provided by continuing financing activities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10,865,784</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3,226,593</w:t>
            </w:r>
          </w:p>
        </w:tc>
      </w:tr>
      <w:tr>
        <w:trPr/>
        <w:tc>
          <w:tcPr>
            <w:tcW w:w="5926" w:type="dxa"/>
            <w:tcBorders>
              <w:top w:val="single" w:sz="8" w:space="0" w:color="000000"/>
              <w:left w:val="single" w:sz="8" w:space="0" w:color="000000"/>
              <w:bottom w:val="single" w:sz="8" w:space="0" w:color="000000"/>
              <w:right w:val="single" w:sz="8" w:space="0" w:color="000000"/>
            </w:tcBorders>
            <w:tcMar>
              <w:left w:w="450" w:type="dxa"/>
            </w:tcMar>
            <w:vAlign w:val="center"/>
          </w:tcPr>
          <w:p>
            <w:pPr>
              <w:pStyle w:val="TableContents"/>
              <w:bidi w:val="0"/>
              <w:spacing w:before="0" w:after="283"/>
              <w:jc w:val="left"/>
              <w:rPr/>
            </w:pPr>
            <w:r>
              <w:rPr/>
              <w:t>Net cash provided by discontinued operations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t>-</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825,444</w:t>
            </w:r>
          </w:p>
        </w:tc>
      </w:tr>
      <w:tr>
        <w:trPr/>
        <w:tc>
          <w:tcPr>
            <w:tcW w:w="5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increase (decrease) in cash and cash equivalents</w:t>
            </w:r>
          </w:p>
        </w:tc>
        <w:tc>
          <w:tcPr>
            <w:tcW w:w="15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pPr>
            <w:r>
              <w:rPr>
                <w:rStyle w:val="StrongEmphasis"/>
              </w:rPr>
              <w:t>$11,114,917</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$(228,595)</w:t>
            </w:r>
          </w:p>
        </w:tc>
      </w:tr>
    </w:tbl>
    <w:p>
      <w:pPr>
        <w:pStyle w:val="TextBody"/>
        <w:bidi w:val="0"/>
        <w:spacing w:before="0" w:after="283"/>
        <w:jc w:val="left"/>
        <w:rPr/>
      </w:pPr>
      <w:r>
        <w:rPr/>
      </w:r>
    </w:p>
    <w:p>
      <w:pPr>
        <w:pStyle w:val="TextBody"/>
        <w:bidi w:val="0"/>
        <w:spacing w:before="0" w:after="283"/>
        <w:jc w:val="left"/>
        <w:rPr/>
      </w:pPr>
      <w:r>
        <w:rPr/>
        <w:t>______________________________</w:t>
        <w:br/>
      </w:r>
      <w:r>
        <w:rPr>
          <w:position w:val="8"/>
          <w:sz w:val="19"/>
        </w:rPr>
        <w:t>1</w:t>
      </w:r>
      <w:r>
        <w:rPr>
          <w:rStyle w:val="Emphasis"/>
        </w:rPr>
        <w:t xml:space="preserve"> Adjusted EBITDA is a non-GAAP financial measure. See “Non-GAAP Financial Measures” and reconciliation tables.</w:t>
      </w:r>
      <w:r>
        <w:rPr/>
        <w:br/>
      </w:r>
      <w:r>
        <w:rPr>
          <w:position w:val="8"/>
          <w:sz w:val="19"/>
        </w:rPr>
        <w:t>2</w:t>
      </w:r>
      <w:r>
        <w:rPr/>
        <w:t xml:space="preserve"> </w:t>
      </w:r>
      <w:r>
        <w:rPr>
          <w:rStyle w:val="Emphasis"/>
        </w:rPr>
        <w:t>Total contract value is an operating metric representing the aggregate estimated contractual spend under signed customer contracts, and may not represent revenue recognized in any particular period as separately determined in accordance with US GAAP.</w:t>
      </w:r>
      <w:r>
        <w:rPr/>
        <w:br/>
      </w:r>
      <w:r>
        <w:rPr>
          <w:position w:val="8"/>
          <w:sz w:val="19"/>
        </w:rPr>
        <w:t>3</w:t>
      </w:r>
      <w:r>
        <w:rPr>
          <w:rStyle w:val="Emphasis"/>
        </w:rPr>
        <w:t xml:space="preserve"> Annualized run rate is an operating metric representing annualized monthly revenue upon full deployment of signed contracts. Annualized run rate is an estimate and does not represent revenue recognized in a particular period as separately determined in accordance with US GAAP.</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3259</Words>
  <Characters>19190</Characters>
  <CharactersWithSpaces>22240</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